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440601-2022-01611</w:t>
      </w:r>
    </w:p>
    <w:p>
      <w:pPr>
        <w:jc w:val="center"/>
      </w:pPr>
      <w:r>
        <w:rPr>
          <w:b/>
          <w:sz w:val="24"/>
        </w:rPr>
        <w:t>采购项目编号：</w:t>
      </w:r>
      <w:r>
        <w:rPr>
          <w:b/>
          <w:sz w:val="24"/>
        </w:rPr>
        <w:t>JYZB-FS-2022023</w:t>
      </w:r>
    </w:p>
    <w:p>
      <w:pPr>
        <w:jc w:val="center"/>
      </w:pPr>
      <w:r>
        <w:rPr>
          <w:b/>
          <w:sz w:val="24"/>
        </w:rPr>
        <w:t>项目名称：</w:t>
      </w:r>
      <w:r>
        <w:rPr>
          <w:b/>
          <w:sz w:val="24"/>
        </w:rPr>
        <w:t>2022年佛山市普通高中和初中学业水平考试计算机辅助考试服务项目</w:t>
      </w:r>
    </w:p>
    <w:p>
      <w:pPr>
        <w:jc w:val="center"/>
      </w:pPr>
      <w:r>
        <w:rPr>
          <w:b/>
          <w:sz w:val="24"/>
        </w:rPr>
        <w:t>采购人：</w:t>
      </w:r>
      <w:r>
        <w:rPr>
          <w:b/>
          <w:sz w:val="24"/>
        </w:rPr>
        <w:t>佛山市教育局</w:t>
      </w:r>
    </w:p>
    <w:p>
      <w:pPr>
        <w:jc w:val="center"/>
      </w:pPr>
      <w:r>
        <w:rPr>
          <w:b/>
          <w:sz w:val="24"/>
        </w:rPr>
        <w:t>采购代理机构：</w:t>
      </w:r>
      <w:r>
        <w:rPr>
          <w:b/>
          <w:sz w:val="24"/>
        </w:rPr>
        <w:t>佛山聚友工程项目管理有限公司</w:t>
      </w:r>
    </w:p>
    <w:p>
      <w:pPr>
        <w:ind w:firstLine="480"/>
      </w:pPr>
    </w:p>
    <w:p>
      <w:r>
        <w:rPr/>
        <w:t xml:space="preserve"> </w:t>
      </w:r>
    </w:p>
    <w:p/>
    <w:p>
      <w:pPr>
        <w:jc w:val="center"/>
      </w:pPr>
      <w:r>
        <w:rPr>
          <w:b/>
          <w:sz w:val="36"/>
        </w:rPr>
        <w:t>第一章 磋商邀请</w:t>
      </w:r>
    </w:p>
    <w:p>
      <w:pPr>
        <w:ind w:firstLine="480"/>
      </w:pPr>
      <w:r>
        <w:rPr/>
        <w:t>佛山聚友工程项目管理有限公司</w:t>
      </w:r>
      <w:r>
        <w:rPr/>
        <w:t>受</w:t>
      </w:r>
      <w:r>
        <w:rPr/>
        <w:t>佛山市教育局</w:t>
      </w:r>
      <w:r>
        <w:rPr/>
        <w:t>的委托，采用</w:t>
      </w:r>
      <w:r>
        <w:rPr/>
        <w:t>竞争性磋商</w:t>
      </w:r>
      <w:r>
        <w:rPr/>
        <w:t>方式组织采购</w:t>
      </w:r>
      <w:r>
        <w:rPr/>
        <w:t>2022年佛山市普通高中和初中学业水平考试计算机辅助考试服务项目</w:t>
      </w:r>
      <w:r>
        <w:rPr/>
        <w:t>。欢迎符合资格条件的供应商参加。</w:t>
      </w:r>
    </w:p>
    <w:p>
      <w:r>
        <w:rPr>
          <w:b/>
          <w:sz w:val="28"/>
        </w:rPr>
        <w:t>一.项目概述</w:t>
      </w:r>
    </w:p>
    <w:p>
      <w:r>
        <w:rPr>
          <w:b/>
          <w:sz w:val="24"/>
        </w:rPr>
        <w:t>1.名称与编号</w:t>
      </w:r>
    </w:p>
    <w:p>
      <w:pPr>
        <w:ind w:firstLine="480"/>
      </w:pPr>
      <w:r>
        <w:rPr/>
        <w:t>采购项目名称：</w:t>
      </w:r>
      <w:r>
        <w:rPr/>
        <w:t>2022年佛山市普通高中和初中学业水平考试计算机辅助考试服务项目</w:t>
      </w:r>
    </w:p>
    <w:p>
      <w:pPr>
        <w:ind w:firstLine="480"/>
      </w:pPr>
      <w:r>
        <w:rPr/>
        <w:t>采购计划编号：</w:t>
      </w:r>
      <w:r>
        <w:rPr/>
        <w:t>440601-2022-01611</w:t>
      </w:r>
    </w:p>
    <w:p>
      <w:pPr>
        <w:ind w:firstLine="480"/>
      </w:pPr>
      <w:r>
        <w:rPr/>
        <w:t>采购项目编号：</w:t>
      </w:r>
      <w:r>
        <w:rPr/>
        <w:t>JYZB-FS-2022023</w:t>
      </w:r>
    </w:p>
    <w:p>
      <w:pPr>
        <w:ind w:firstLine="480"/>
      </w:pPr>
      <w:r>
        <w:rPr/>
        <w:t>采购方式：</w:t>
      </w:r>
      <w:r>
        <w:rPr/>
        <w:t>竞争性磋商</w:t>
      </w:r>
    </w:p>
    <w:p>
      <w:pPr>
        <w:ind w:firstLine="480"/>
      </w:pPr>
      <w:r>
        <w:rPr/>
        <w:t>预算金额：</w:t>
      </w:r>
      <w:r>
        <w:rPr/>
        <w:t>1,977,700.00</w:t>
      </w:r>
      <w:r>
        <w:rPr/>
        <w:t>元</w:t>
      </w:r>
    </w:p>
    <w:p>
      <w:r>
        <w:rPr>
          <w:b/>
          <w:sz w:val="24"/>
        </w:rPr>
        <w:t>2.项目内容及需求情况（采购项目技术规格、参数及要求）</w:t>
      </w:r>
    </w:p>
    <w:p>
      <w:pPr>
        <w:ind w:firstLine="480"/>
      </w:pPr>
    </w:p>
    <w:p/>
    <w:p>
      <w:r>
        <w:rPr/>
        <w:t>采购包1(2022年佛山市普通高中和初中学业水平考试计算机辅助考试服务项目):</w:t>
      </w:r>
    </w:p>
    <w:p>
      <w:r>
        <w:rPr/>
        <w:t>采购包预算金额：1,977,700.00元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2022年佛山市普通高中和初中学业水平考试 计算机辅助考试服务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合同履行期限：本项目的技术服务一年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3）具有良好的商业信誉和健全的财务会计制度：供应商必须具有良好的商业信誉和健全的财务会计制度（提供2020年度财务报告或2021年至今任意1个月的财务状况报告或基本开户行出具的资信证明）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采购包1（2022年佛山市普通高中和初中学业水平考试计算机辅助考试服务项目）：</w:t>
      </w:r>
      <w:r>
        <w:rPr/>
        <w:t>采购包整体专门面向中小企业。只允许中小企业、监狱企业、残疾人福利性单位参与本项目投标。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标的按照《中小企业划分标准规定》（工信部联企业[2011]300号）划分行业为：其他未列明行业。</w:t>
      </w:r>
    </w:p>
    <w:p/>
    <w:p>
      <w:r>
        <w:rPr>
          <w:b/>
          <w:sz w:val="24"/>
        </w:rPr>
        <w:t>3.本项目特定的资格要求：</w:t>
      </w:r>
    </w:p>
    <w:p>
      <w:pPr>
        <w:ind w:firstLine="480"/>
      </w:pPr>
    </w:p>
    <w:p/>
    <w:p>
      <w:r>
        <w:rPr/>
        <w:t>采购包1（2022年佛山市普通高中和初中学业水平考试计算机辅助考试服务项目）：</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佛山市教育局</w:t>
      </w:r>
    </w:p>
    <w:p>
      <w:pPr>
        <w:ind w:firstLine="480"/>
      </w:pPr>
      <w:r>
        <w:rPr/>
        <w:t>地址：</w:t>
      </w:r>
      <w:r>
        <w:rPr/>
        <w:t>广东省佛山市同济西路9号</w:t>
      </w:r>
    </w:p>
    <w:p>
      <w:pPr>
        <w:ind w:firstLine="480"/>
      </w:pPr>
      <w:r>
        <w:rPr/>
        <w:t>联系方式：</w:t>
      </w:r>
      <w:r>
        <w:rPr/>
        <w:t>0757-83205073</w:t>
      </w:r>
    </w:p>
    <w:p>
      <w:r>
        <w:rPr>
          <w:b/>
          <w:sz w:val="24"/>
        </w:rPr>
        <w:t>2.采购代理机构信息</w:t>
      </w:r>
    </w:p>
    <w:p>
      <w:pPr>
        <w:ind w:firstLine="480"/>
      </w:pPr>
      <w:r>
        <w:rPr/>
        <w:t>名称：</w:t>
      </w:r>
      <w:r>
        <w:rPr/>
        <w:t>佛山聚友工程项目管理有限公司</w:t>
      </w:r>
    </w:p>
    <w:p>
      <w:pPr>
        <w:ind w:firstLine="480"/>
      </w:pPr>
      <w:r>
        <w:rPr/>
        <w:t>地址：</w:t>
      </w:r>
      <w:r>
        <w:rPr/>
        <w:t>佛山市禅城区金源街8号8楼</w:t>
      </w:r>
    </w:p>
    <w:p>
      <w:pPr>
        <w:ind w:firstLine="480"/>
      </w:pPr>
      <w:r>
        <w:rPr/>
        <w:t>联系方式：</w:t>
      </w:r>
      <w:r>
        <w:rPr/>
        <w:t>0757-83388785</w:t>
      </w:r>
    </w:p>
    <w:p>
      <w:r>
        <w:rPr>
          <w:b/>
          <w:sz w:val="24"/>
        </w:rPr>
        <w:t>3.项目联系方式</w:t>
      </w:r>
    </w:p>
    <w:p>
      <w:pPr>
        <w:ind w:firstLine="480"/>
      </w:pPr>
      <w:r>
        <w:rPr/>
        <w:t>项目联系人：</w:t>
      </w:r>
      <w:r>
        <w:rPr/>
        <w:t>杨冬红</w:t>
      </w:r>
    </w:p>
    <w:p>
      <w:pPr>
        <w:ind w:firstLine="480"/>
      </w:pPr>
      <w:r>
        <w:rPr/>
        <w:t>电话：</w:t>
      </w:r>
      <w:r>
        <w:rPr/>
        <w:t>0757-83388785</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佛山聚友工程项目管理有限公司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2"/>
      </w:pPr>
      <w:r>
        <w:rPr>
          <w:b/>
          <w:sz w:val="24"/>
        </w:rPr>
        <w:t>一、项目背景</w:t>
      </w:r>
    </w:p>
    <w:p>
      <w:pPr>
        <w:ind w:firstLine="482"/>
      </w:pPr>
      <w:r>
        <w:rPr>
          <w:b/>
          <w:color w:val="000000"/>
          <w:sz w:val="24"/>
        </w:rPr>
        <w:t>1.国家政策要求</w:t>
      </w:r>
    </w:p>
    <w:p>
      <w:pPr>
        <w:ind w:firstLine="480"/>
      </w:pPr>
    </w:p>
    <w:p>
      <w:pPr>
        <w:ind w:firstLine="480"/>
      </w:pPr>
      <w:r>
        <w:rPr>
          <w:color w:val="000000"/>
          <w:sz w:val="24"/>
        </w:rPr>
        <w:t>《国家中长期教育改革和发展规划纲要（</w:t>
      </w:r>
      <w:r>
        <w:rPr>
          <w:color w:val="000000"/>
          <w:sz w:val="24"/>
        </w:rPr>
        <w:t>2010—2020年）》提出，我国要在2020年基本实现教育现代化，进入人力资源强国行列。作为教育现代化的推动力量，教育信息化近年受到各级教育机构、各大高校的高度重视，并被纳入国家信息化发展整体战略。</w:t>
      </w:r>
    </w:p>
    <w:p>
      <w:pPr>
        <w:ind w:firstLine="480"/>
      </w:pPr>
      <w:r>
        <w:rPr>
          <w:color w:val="000000"/>
          <w:sz w:val="24"/>
        </w:rPr>
        <w:t>根据《教育部关于普通高中学业水平考试的实施意见》（教基二</w:t>
      </w:r>
      <w:r>
        <w:rPr>
          <w:color w:val="000000"/>
          <w:sz w:val="24"/>
        </w:rPr>
        <w:t>[2014]10号）对考试科目的规定：《普通高中课程方案(实验)》所设定的科目均列入学业水平考试范围。语文、数学、外语、思想政治、历史、地理、物理、化学、生物等科目考试，由省级教育行政部门统一组织。音乐、美术、信息技术、通用技术、体育与健康科目考试，可由省级教育行政部门制定统一要求，确定具体组织方式。</w:t>
      </w:r>
    </w:p>
    <w:p>
      <w:pPr>
        <w:ind w:firstLine="482"/>
      </w:pPr>
      <w:r>
        <w:rPr>
          <w:b/>
          <w:color w:val="000000"/>
          <w:sz w:val="24"/>
        </w:rPr>
        <w:t>2.广东省关于普通高中学业水平考试的要求</w:t>
      </w:r>
    </w:p>
    <w:p>
      <w:pPr>
        <w:ind w:firstLine="480"/>
      </w:pPr>
      <w:r>
        <w:rPr>
          <w:color w:val="000000"/>
          <w:sz w:val="24"/>
        </w:rPr>
        <w:t>2019年7月，广东省教育厅正式出台了《广东省教育厅关于印发广东省普通高中学业水平考试实施办法的通知》，对艺术（或音乐、美术）、技术（含信息技术和通用技术）、体育与健康科目实施方面的规定如下：</w:t>
      </w:r>
    </w:p>
    <w:p>
      <w:pPr>
        <w:ind w:firstLine="480"/>
      </w:pPr>
      <w:r>
        <w:rPr>
          <w:color w:val="000000"/>
          <w:sz w:val="24"/>
        </w:rPr>
        <w:t>（</w:t>
      </w:r>
      <w:r>
        <w:rPr>
          <w:color w:val="000000"/>
          <w:sz w:val="24"/>
        </w:rPr>
        <w:t>1）考试时长：艺术（或音乐、美术）、技术（含信息技术和通用技术）、体育与健康科目的考试时长由各地市确定。</w:t>
      </w:r>
    </w:p>
    <w:p>
      <w:pPr>
        <w:ind w:firstLine="480"/>
      </w:pPr>
      <w:r>
        <w:rPr>
          <w:color w:val="000000"/>
          <w:sz w:val="24"/>
        </w:rPr>
        <w:t>（</w:t>
      </w:r>
      <w:r>
        <w:rPr>
          <w:color w:val="000000"/>
          <w:sz w:val="24"/>
        </w:rPr>
        <w:t>2）考试时间：由各地市自行确定。</w:t>
      </w:r>
    </w:p>
    <w:p>
      <w:pPr>
        <w:ind w:firstLine="480"/>
      </w:pPr>
      <w:r>
        <w:rPr>
          <w:color w:val="000000"/>
          <w:sz w:val="24"/>
        </w:rPr>
        <w:t>（</w:t>
      </w:r>
      <w:r>
        <w:rPr>
          <w:color w:val="000000"/>
          <w:sz w:val="24"/>
        </w:rPr>
        <w:t>3）考试方式和题型：合格性和选择性考试科目要积极探索应用计算机进行考试。</w:t>
      </w:r>
    </w:p>
    <w:p>
      <w:pPr>
        <w:ind w:firstLine="480"/>
      </w:pPr>
      <w:r>
        <w:rPr>
          <w:color w:val="000000"/>
          <w:sz w:val="24"/>
        </w:rPr>
        <w:t>艺术（或音乐、美术）、技术（含信息技术和通用技术）、体育与健康等科目考试方式由各地市自行确定。要将过程性评价与终结性评价有机结合，重视技能的考核。其中艺术（或音乐、美术）科目要进行</w:t>
      </w:r>
      <w:r>
        <w:rPr>
          <w:color w:val="000000"/>
          <w:sz w:val="24"/>
        </w:rPr>
        <w:t>1-2项艺术（或音乐、美术）技能考核，体育与健康科目要选择2项运动技能进行考核。</w:t>
      </w:r>
    </w:p>
    <w:p>
      <w:pPr>
        <w:ind w:firstLine="480"/>
      </w:pPr>
      <w:r>
        <w:rPr>
          <w:color w:val="000000"/>
          <w:sz w:val="24"/>
        </w:rPr>
        <w:t>《广东省教育厅关于普通高中体育与健康等科目学业水平考试工作的指导意见》（粤教考〔</w:t>
      </w:r>
      <w:r>
        <w:rPr>
          <w:color w:val="000000"/>
          <w:sz w:val="24"/>
        </w:rPr>
        <w:t>2019〕19号）要求，各地从2018或2019年秋季入学新生开始组织考试试点，最迟从2020年秋季入学的新生开始正式实施体育与健康等科目普通高中学业水平考试。根据要求，原则上体育与健康科目在普通高中3年每学年进行一次《国家学生体质健康标准》测试，在高三年级还须进行技能测试；音乐、美术科目不早于第3学期不迟于第5学期考试；信息技术、通用技术科目不早于第2学期不迟于第4学期考试。</w:t>
      </w:r>
    </w:p>
    <w:p>
      <w:pPr>
        <w:ind w:firstLine="480"/>
      </w:pPr>
      <w:r>
        <w:rPr>
          <w:color w:val="000000"/>
          <w:sz w:val="24"/>
        </w:rPr>
        <w:t>结合我市实际情况，按照</w:t>
      </w:r>
      <w:r>
        <w:rPr>
          <w:color w:val="000000"/>
          <w:sz w:val="24"/>
        </w:rPr>
        <w:t>“学完即考”的原则，相关实施方案明确了体育与健康等科目的考试时间，具体如下：一是体育与健康科目，包含运动参与、体质健康测试和运动技能测试，其中运动参与每学期末进行一次评价，体质健康测试每学年进行一次，专项运动技能测试安排在高三第一学期进行。首次专项运动技能测试时间安排在10月至11月，补考时间安排在首次现场测试结束后1个月内。二是音乐和美术科目包含过程性评价、专项测试和必修课程测试，其中过程性评价和专项测试统一安排在第4学期结束前进行，在模块修习结束后，学校组织开展集中测试或在音乐课堂中随堂进行，首次必修课程测试安排在第3学期末，有特殊情况需补考的，与同下一学年度学生一起安排补考。三是信息技术和通用技术科目包含过程性评价和终结性测试，其中过程性评价以学期为单位进行评价，首次终结性测试安排在第3学期末，有特殊情况需补考的，与同下一学年度学生一起安排补考。以上考试科目从2020年秋季入学的普通高中高一学生开始实施。</w:t>
      </w:r>
    </w:p>
    <w:p>
      <w:pPr>
        <w:ind w:firstLine="482"/>
      </w:pPr>
      <w:r>
        <w:rPr>
          <w:b/>
          <w:color w:val="000000"/>
          <w:sz w:val="24"/>
        </w:rPr>
        <w:t>3.广东省关于初中学业水平考试的要求</w:t>
      </w:r>
    </w:p>
    <w:p>
      <w:pPr>
        <w:ind w:firstLine="482"/>
      </w:pPr>
      <w:r>
        <w:rPr>
          <w:color w:val="000000"/>
          <w:sz w:val="24"/>
        </w:rPr>
        <w:t>2018年，广东省教育厅正式出台了《广东省教育厅关于印发初中学业水平考试实施办法的通知》。对艺术（音乐、美术）、技术（信息技术）、实施方面的规定如下：</w:t>
      </w:r>
    </w:p>
    <w:p>
      <w:pPr>
        <w:ind w:firstLine="482"/>
      </w:pPr>
      <w:r>
        <w:rPr>
          <w:color w:val="000000"/>
          <w:sz w:val="24"/>
        </w:rPr>
        <w:t>（</w:t>
      </w:r>
      <w:r>
        <w:rPr>
          <w:color w:val="000000"/>
          <w:sz w:val="24"/>
        </w:rPr>
        <w:t>1）考试方式：初中学考是根据国家《义务教育课程设置实验方案》（7～9年级，以下简称《课程方案》）和国家《义务教育课程标准》（7～9年级，以下简称《课程标准》）设置，由地级以上市（以下简称市）教育行政部门组织实施的考试，积极探索应用计算机进行非笔试科目的考试。</w:t>
      </w:r>
    </w:p>
    <w:p>
      <w:pPr>
        <w:ind w:firstLine="482"/>
      </w:pPr>
      <w:r>
        <w:rPr>
          <w:color w:val="000000"/>
          <w:sz w:val="24"/>
        </w:rPr>
        <w:t>（</w:t>
      </w:r>
      <w:r>
        <w:rPr>
          <w:color w:val="000000"/>
          <w:sz w:val="24"/>
        </w:rPr>
        <w:t>2）各科满分值：体育与健康、音乐、美术和信息技术科目各科（项）满分值由各市自定。</w:t>
      </w:r>
    </w:p>
    <w:p>
      <w:pPr>
        <w:ind w:firstLine="482"/>
      </w:pPr>
      <w:r>
        <w:rPr>
          <w:color w:val="000000"/>
          <w:sz w:val="24"/>
        </w:rPr>
        <w:t>（</w:t>
      </w:r>
      <w:r>
        <w:rPr>
          <w:color w:val="000000"/>
          <w:sz w:val="24"/>
        </w:rPr>
        <w:t>3）考试时长：艺术（音乐、美术）、技术（信息技术）、体育与健康科目的考试时长由各地市确定。</w:t>
      </w:r>
    </w:p>
    <w:p>
      <w:pPr>
        <w:ind w:firstLine="482"/>
      </w:pPr>
      <w:r>
        <w:rPr>
          <w:color w:val="000000"/>
          <w:sz w:val="24"/>
        </w:rPr>
        <w:t>（</w:t>
      </w:r>
      <w:r>
        <w:rPr>
          <w:color w:val="000000"/>
          <w:sz w:val="24"/>
        </w:rPr>
        <w:t>4）命题与考试要求：市负责体育与健康、音乐、美术和信息技术等科目及理化生实验操作考试的命题；统一制订体育与健康、音乐、美术和信息技术科目及理化生实验操作的考试方法、评分标准、考场设置、组织方式、监考要求和监督机制等方面要求。</w:t>
      </w:r>
    </w:p>
    <w:p>
      <w:pPr>
        <w:jc w:val="both"/>
      </w:pPr>
      <w:r>
        <w:rPr>
          <w:b/>
          <w:color w:val="000000"/>
          <w:sz w:val="24"/>
        </w:rPr>
        <w:t xml:space="preserve">    二、项目内容</w:t>
      </w:r>
    </w:p>
    <w:p>
      <w:pPr>
        <w:ind w:firstLine="480"/>
      </w:pPr>
      <w:r>
        <w:rPr>
          <w:color w:val="000000"/>
          <w:sz w:val="24"/>
        </w:rPr>
        <w:t>考试规模：</w:t>
      </w:r>
      <w:r>
        <w:rPr>
          <w:color w:val="000000"/>
          <w:sz w:val="24"/>
        </w:rPr>
        <w:t>2022年普通高中学业水平考试人数4.5万人,考试科目为音乐、美术、信息技术、通用技术四科；初中学业水平考试人数7.2万人，考试科目为音乐、美术、信息技术三科；初中体育理论考试500人。</w:t>
      </w:r>
    </w:p>
    <w:p>
      <w:r>
        <w:rPr>
          <w:color w:val="000000"/>
          <w:sz w:val="24"/>
        </w:rPr>
        <w:t xml:space="preserve">   相关科目考试的技术服务事项包括但不限于：提供考试系统并部署运维、考试系统功能研发升级服务、培训服务、题库服务（加题、入库、组卷）、考试全流程技术服务（培训、报名、考试编排、技术指导考点系统安装调试、模拟考试、考试、自动评分、成绩处理、数据核查、成绩统计分析、小结与总结报告等）以及相关科目的过程性评价和专项测试成绩导入、编辑整理、以及各科最终成绩合成处理等</w:t>
      </w:r>
      <w:r>
        <w:rPr/>
        <w:t>。</w:t>
      </w:r>
    </w:p>
    <w:p/>
    <w:p>
      <w:pPr>
        <w:ind w:firstLine="480"/>
      </w:pPr>
    </w:p>
    <w:p/>
    <w:p>
      <w:r>
        <w:rPr/>
        <w:t>采购包1（2022年佛山市普通高中和初中学业水平考试计算机辅助考试服务项目）：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本项目的技术服务一年。按照采购人2022年的相关科目考试安排，在指定的时间提供合格的机考技术服务。确定成交人后，根据采购人的考务安排组织实施机考；每科机考结束后一周内，提交合格的服务成果进行验收。</w:t>
            </w:r>
          </w:p>
        </w:tc>
      </w:tr>
      <w:tr>
        <w:tc>
          <w:tcPr>
            <w:tcW w:type="dxa" w:w="4153"/>
          </w:tcPr>
          <w:p>
            <w:r>
              <w:rPr/>
              <w:t>标的提供的地点</w:t>
            </w:r>
          </w:p>
        </w:tc>
        <w:tc>
          <w:tcPr>
            <w:tcW w:type="dxa" w:w="4153"/>
          </w:tcPr>
          <w:p>
            <w:pPr>
              <w:jc w:val="left"/>
            </w:pPr>
          </w:p>
          <w:p>
            <w:r>
              <w:rPr/>
              <w:t>甲方指定地点。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1期：支付比例30%，合同签订且提交经采购方认可的《项目服务方案》后15个工作日内，佛山市教育局向服务商支付合同总价的30%。</w:t>
            </w:r>
          </w:p>
          <w:p/>
          <w:p>
            <w:r>
              <w:rPr/>
              <w:t>2期：支付比例70%，所有科目机考的最终成绩数据，经考试系统厂家核查无误后；考试成绩数据、相关报表完整移交至采购人相关部门并复核无误，15个工作日内，支付合同总价的70%款项。</w:t>
            </w:r>
          </w:p>
        </w:tc>
      </w:tr>
      <w:tr>
        <w:tc>
          <w:tcPr>
            <w:tcW w:type="dxa" w:w="4153"/>
          </w:tcPr>
          <w:p>
            <w:r>
              <w:rPr/>
              <w:t>验收要求</w:t>
            </w:r>
          </w:p>
        </w:tc>
        <w:tc>
          <w:tcPr>
            <w:tcW w:type="dxa" w:w="4153"/>
          </w:tcPr>
          <w:p>
            <w:pPr>
              <w:jc w:val="left"/>
            </w:pPr>
          </w:p>
          <w:p/>
          <w:p/>
          <w:p>
            <w:r>
              <w:rPr/>
              <w:t>1期：1.验收组织：项目所有工作内容完成以后，由乙方提交验收申请，由甲方组织验收小组，负责对项目进行全面验收。 2.项目验收依次序对照执行标准为：①符合中华人民共和国国家和履约地相关行业技术规范标准；②符合采购文件和响应承诺中各方共同认可的各项要求；。 3.技术服务工作的验收标准：服务工作必须符合本项目招标文件及合同的有关要求和国家（或行业）有关法律法规及标准规范。 上述各类标准与法规必须是有关官方机构最新发布的现行标准版本。成交人须为验收提供必需的一切条件及相关费用。</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2022年佛山市普通高中和初中学业水平考试 计算机辅助考试服务</w:t>
            </w:r>
          </w:p>
        </w:tc>
        <w:tc>
          <w:tcPr>
            <w:tcW w:type="dxa" w:w="385"/>
          </w:tcPr>
          <w:p>
            <w:r>
              <w:rPr/>
              <w:t>项</w:t>
            </w:r>
          </w:p>
        </w:tc>
        <w:tc>
          <w:tcPr>
            <w:tcW w:type="dxa" w:w="769"/>
          </w:tcPr>
          <w:p>
            <w:pPr>
              <w:jc w:val="right"/>
            </w:pPr>
            <w:r>
              <w:rPr/>
              <w:t>1.0000</w:t>
            </w:r>
          </w:p>
        </w:tc>
        <w:tc>
          <w:tcPr>
            <w:tcW w:type="dxa" w:w="769"/>
          </w:tcPr>
          <w:p>
            <w:pPr>
              <w:jc w:val="right"/>
            </w:pPr>
            <w:r>
              <w:rPr/>
              <w:t>1,977,700.00</w:t>
            </w:r>
          </w:p>
        </w:tc>
        <w:tc>
          <w:tcPr>
            <w:tcW w:type="dxa" w:w="769"/>
          </w:tcPr>
          <w:p>
            <w:pPr>
              <w:jc w:val="right"/>
            </w:pPr>
            <w:r>
              <w:rPr/>
              <w:t>1,977,700.00</w:t>
            </w:r>
          </w:p>
        </w:tc>
        <w:tc>
          <w:tcPr>
            <w:tcW w:type="dxa" w:w="769"/>
          </w:tcPr>
          <w:p>
            <w:r>
              <w:rPr/>
              <w:t>-</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2022年佛山市普通高中和初中学业水平考试 计算机辅助考试服务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30"/>
              </w:rPr>
              <w:t>三、项目建设目标概况</w:t>
            </w:r>
          </w:p>
          <w:p>
            <w:r>
              <w:rPr>
                <w:b/>
                <w:color w:val="000000"/>
                <w:sz w:val="24"/>
              </w:rPr>
              <w:t>（一）建设目标与思路</w:t>
            </w:r>
          </w:p>
          <w:p>
            <w:pPr>
              <w:ind w:firstLine="482"/>
            </w:pPr>
            <w:r>
              <w:rPr>
                <w:b/>
                <w:color w:val="000000"/>
                <w:sz w:val="24"/>
              </w:rPr>
              <w:t>1.总体目标</w:t>
            </w:r>
          </w:p>
          <w:p>
            <w:pPr>
              <w:ind w:firstLine="480"/>
            </w:pPr>
            <w:r>
              <w:rPr>
                <w:color w:val="000000"/>
                <w:sz w:val="24"/>
              </w:rPr>
              <w:t>（</w:t>
            </w:r>
            <w:r>
              <w:rPr>
                <w:color w:val="000000"/>
                <w:sz w:val="24"/>
              </w:rPr>
              <w:t>1）通过本项目的建设，实现佛山市普通高中和初中学业水平考试的音乐、美术、信息技术、通用技术、体育与健康科目的试题转换成电子化试题；能降低入闱时间，大幅度降低命题成本。</w:t>
            </w:r>
          </w:p>
          <w:p>
            <w:pPr>
              <w:ind w:firstLine="480"/>
            </w:pPr>
            <w:r>
              <w:rPr>
                <w:color w:val="000000"/>
                <w:sz w:val="24"/>
              </w:rPr>
              <w:t>（</w:t>
            </w:r>
            <w:r>
              <w:rPr>
                <w:color w:val="000000"/>
                <w:sz w:val="24"/>
              </w:rPr>
              <w:t>2）有效支撑“佛山市普通高中和初中学业水平考试的音乐、美术、信息技术、通用技术、体育与健康科目”考前、考中、考后全业务流程，实现题库建设、报名、考场编排、考试数据发布、考场管理、自动评卷、成绩发布等系列工作的电子化、智能化。</w:t>
            </w:r>
          </w:p>
          <w:p>
            <w:pPr>
              <w:ind w:firstLine="480"/>
            </w:pPr>
            <w:r>
              <w:rPr>
                <w:color w:val="000000"/>
                <w:sz w:val="24"/>
              </w:rPr>
              <w:t>（</w:t>
            </w:r>
            <w:r>
              <w:rPr>
                <w:color w:val="000000"/>
                <w:sz w:val="24"/>
              </w:rPr>
              <w:t>3）建立起一套科学、公平、高效的普通高中和初中学业水平考试</w:t>
            </w:r>
            <w:r>
              <w:rPr>
                <w:color w:val="000000"/>
                <w:sz w:val="24"/>
              </w:rPr>
              <w:t>，在指定的时间提供合格的机考</w:t>
            </w:r>
            <w:r>
              <w:rPr>
                <w:color w:val="000000"/>
                <w:sz w:val="24"/>
              </w:rPr>
              <w:t>的考务管理、考试实施和技术服务体系，为学业水平合格性考试其他科目实施计算机辅助考试提供良好的实施参照。</w:t>
            </w:r>
          </w:p>
          <w:p>
            <w:pPr>
              <w:ind w:firstLine="482"/>
            </w:pPr>
            <w:r>
              <w:rPr>
                <w:b/>
                <w:color w:val="000000"/>
                <w:sz w:val="24"/>
              </w:rPr>
              <w:t>2.项目建设思路</w:t>
            </w:r>
          </w:p>
          <w:p>
            <w:pPr>
              <w:ind w:firstLine="480"/>
            </w:pPr>
            <w:r>
              <w:rPr>
                <w:color w:val="000000"/>
                <w:sz w:val="24"/>
              </w:rPr>
              <w:t>3.</w:t>
            </w:r>
            <w:r>
              <w:rPr>
                <w:color w:val="000000"/>
                <w:sz w:val="24"/>
              </w:rPr>
              <w:t>投标人须书面承诺：服务过程中造成的考试相关信息外泄，及由此带来的一切影响及责任由成交供应商自行承担；采购文件未尽事宜，确定中标人后，双方本着最大限度兼顾采购人需求，</w:t>
            </w:r>
            <w:r>
              <w:rPr>
                <w:color w:val="000000"/>
                <w:sz w:val="24"/>
              </w:rPr>
              <w:t>依据</w:t>
            </w:r>
            <w:r>
              <w:rPr>
                <w:color w:val="000000"/>
                <w:sz w:val="24"/>
              </w:rPr>
              <w:t>“总体规划、分科实施、示范带动”的建设策略，在保障教育考试工作正常开展的前提下</w:t>
            </w:r>
            <w:r>
              <w:rPr>
                <w:color w:val="000000"/>
                <w:sz w:val="24"/>
              </w:rPr>
              <w:t>，分阶段实施。</w:t>
            </w:r>
          </w:p>
          <w:p>
            <w:pPr>
              <w:ind w:firstLine="480"/>
            </w:pPr>
            <w:r>
              <w:rPr>
                <w:color w:val="000000"/>
                <w:sz w:val="24"/>
              </w:rPr>
              <w:t>（</w:t>
            </w:r>
            <w:r>
              <w:rPr>
                <w:color w:val="000000"/>
                <w:sz w:val="24"/>
              </w:rPr>
              <w:t>1）佛山市教育局完成本市学业水平考试的音乐、美术、信息技术、通用技术科目考试的总体工作计划。</w:t>
            </w:r>
          </w:p>
          <w:p>
            <w:pPr>
              <w:ind w:firstLine="480"/>
            </w:pPr>
            <w:r>
              <w:rPr>
                <w:color w:val="000000"/>
                <w:sz w:val="24"/>
              </w:rPr>
              <w:t>（</w:t>
            </w:r>
            <w:r>
              <w:rPr>
                <w:color w:val="000000"/>
                <w:sz w:val="24"/>
              </w:rPr>
              <w:t>2）佛山市教育局组织完成“佛山市普通高中和初中学业水平考试购买第三方公司服务”项目的招标工作。通过招标遴选国内基础教育行业优秀的考试系统厂家免费提供满足考试业务需求、性能要求的计算机辅助考试软件，合理有偿提供计算机辅助考试完整技术服务。</w:t>
            </w:r>
          </w:p>
          <w:p>
            <w:pPr>
              <w:ind w:firstLine="480"/>
            </w:pPr>
            <w:r>
              <w:rPr>
                <w:color w:val="000000"/>
                <w:sz w:val="24"/>
              </w:rPr>
              <w:t>（</w:t>
            </w:r>
            <w:r>
              <w:rPr>
                <w:color w:val="000000"/>
                <w:sz w:val="24"/>
              </w:rPr>
              <w:t>3</w:t>
            </w:r>
            <w:r>
              <w:rPr>
                <w:color w:val="000000"/>
                <w:sz w:val="24"/>
              </w:rPr>
              <w:t>）通过佛山市初高中学业水平考试的音乐、美术、信息技术、通用技术、体育与健康科目计算机辅助考试</w:t>
            </w:r>
            <w:r>
              <w:rPr>
                <w:color w:val="000000"/>
                <w:sz w:val="24"/>
              </w:rPr>
              <w:t>的顺利实施，佛山市教育局总结出学考考务管理、计算机辅助考试实施和技术服务体系的成熟经验，为学业水平其他</w:t>
            </w:r>
            <w:r>
              <w:rPr>
                <w:color w:val="000000"/>
                <w:sz w:val="24"/>
              </w:rPr>
              <w:t>9科实施计算机辅助考试提供良好的实施参照。</w:t>
            </w:r>
          </w:p>
          <w:p>
            <w:r>
              <w:rPr>
                <w:b/>
                <w:color w:val="000000"/>
                <w:sz w:val="24"/>
              </w:rPr>
              <w:t>（二）项目建设主要任务</w:t>
            </w:r>
          </w:p>
          <w:p>
            <w:pPr>
              <w:ind w:firstLine="480"/>
            </w:pPr>
            <w:r>
              <w:rPr>
                <w:color w:val="000000"/>
                <w:sz w:val="24"/>
              </w:rPr>
              <w:t>实现佛山市学业水平的音乐、美术、信息技术、通用技术、体育与健康科目计算机辅助考试的考试方式符合广东省教育厅印发的广东省普通高中和初中学业水平考试实施的相关政策要求。通过考试系统厂家的试题转化系统，发布相关科目多重加密的电子试卷包或电子题库包，通过若干年的电子化试题业务建设和积累，形成具有持续生命力的</w:t>
            </w:r>
            <w:r>
              <w:rPr>
                <w:color w:val="000000"/>
                <w:sz w:val="24"/>
              </w:rPr>
              <w:t>“大题库”。</w:t>
            </w:r>
            <w:r>
              <w:rPr>
                <w:color w:val="000000"/>
                <w:sz w:val="24"/>
              </w:rPr>
              <w:t>遴选国内优秀的考试</w:t>
            </w:r>
            <w:r>
              <w:rPr>
                <w:color w:val="000000"/>
                <w:sz w:val="24"/>
              </w:rPr>
              <w:t>系统厂家免费提供满足考试业务需求</w:t>
            </w:r>
            <w:r>
              <w:rPr>
                <w:color w:val="000000"/>
                <w:sz w:val="24"/>
              </w:rPr>
              <w:t>和性能要求的计算机辅助考试软件，有偿提供完整的技术服务确保考试</w:t>
            </w:r>
            <w:r>
              <w:rPr>
                <w:color w:val="000000"/>
                <w:sz w:val="24"/>
              </w:rPr>
              <w:t>顺利进行。</w:t>
            </w:r>
          </w:p>
          <w:p>
            <w:r>
              <w:rPr>
                <w:b/>
                <w:color w:val="000000"/>
                <w:sz w:val="30"/>
              </w:rPr>
              <w:t>四、项目</w:t>
            </w:r>
            <w:r>
              <w:rPr>
                <w:b/>
                <w:color w:val="000000"/>
                <w:sz w:val="30"/>
              </w:rPr>
              <w:t>的建设内容</w:t>
            </w:r>
          </w:p>
          <w:p>
            <w:r>
              <w:rPr>
                <w:b/>
                <w:color w:val="000000"/>
                <w:sz w:val="24"/>
              </w:rPr>
              <w:t>（一）考试</w:t>
            </w:r>
            <w:r>
              <w:rPr>
                <w:b/>
                <w:color w:val="000000"/>
                <w:sz w:val="24"/>
              </w:rPr>
              <w:t>系统软件</w:t>
            </w:r>
            <w:r>
              <w:rPr>
                <w:b/>
                <w:color w:val="000000"/>
                <w:sz w:val="24"/>
              </w:rPr>
              <w:t>功能</w:t>
            </w:r>
          </w:p>
          <w:p>
            <w:pPr>
              <w:ind w:firstLine="482"/>
            </w:pPr>
            <w:r>
              <w:rPr>
                <w:b/>
                <w:color w:val="000000"/>
                <w:sz w:val="24"/>
              </w:rPr>
              <w:t>（</w:t>
            </w:r>
            <w:r>
              <w:rPr>
                <w:b/>
                <w:color w:val="000000"/>
                <w:sz w:val="24"/>
              </w:rPr>
              <w:t>1）整套系统组成</w:t>
            </w:r>
          </w:p>
          <w:p>
            <w:r>
              <w:rPr>
                <w:color w:val="000000"/>
                <w:sz w:val="24"/>
              </w:rPr>
              <w:t>整套考试系统包含【试题转化系统、考务管理系统、监考管理系统、考生作答系统、阅卷系统、同步备份系统】。</w:t>
            </w:r>
          </w:p>
          <w:p>
            <w:r>
              <w:drawing>
                <wp:inline distT="0" distR="0" distB="0" distL="0">
                  <wp:extent cx="3554729" cy="21240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124075"/>
                          </a:xfrm>
                          <a:prstGeom prst="rect">
                            <a:avLst/>
                          </a:prstGeom>
                        </pic:spPr>
                      </pic:pic>
                    </a:graphicData>
                  </a:graphic>
                </wp:inline>
              </w:drawing>
            </w:r>
          </w:p>
          <w:p>
            <w:r>
              <w:rPr>
                <w:color w:val="000000"/>
                <w:sz w:val="24"/>
              </w:rPr>
              <w:t>试题转化系统：系统采用</w:t>
            </w:r>
            <w:r>
              <w:rPr>
                <w:color w:val="000000"/>
                <w:sz w:val="24"/>
              </w:rPr>
              <w:t>C/S架构，每次加题时须临时部署在入闱地点的内部局域网系统进行加题、测试、组卷，最终发布多重加密的电子化试卷包或题库包。</w:t>
            </w:r>
          </w:p>
          <w:p>
            <w:r>
              <w:rPr>
                <w:color w:val="000000"/>
                <w:sz w:val="24"/>
              </w:rPr>
              <w:t>考务管理系统：系统采用</w:t>
            </w:r>
            <w:r>
              <w:rPr>
                <w:color w:val="000000"/>
                <w:sz w:val="24"/>
              </w:rPr>
              <w:t>B/S架构，系统只需部署市里，市级、区级、考点三级用户均可通过互联网访问，主要用于考生报名编排数据汇总统计、考试计划设定、考试监控、成绩统计管理。</w:t>
            </w:r>
          </w:p>
          <w:p>
            <w:r>
              <w:rPr>
                <w:color w:val="000000"/>
                <w:sz w:val="24"/>
              </w:rPr>
              <w:t>监考管理系统与考生作答系统：采用</w:t>
            </w:r>
            <w:r>
              <w:rPr>
                <w:color w:val="000000"/>
                <w:sz w:val="24"/>
              </w:rPr>
              <w:t>C/S架构部署在每个考点的机房，每个机房（考场）为一个独立的管理单元，可完全满足并发50万以上的考试需求。监考管理系统安装每个机房的教师机，考生作答系统安装在每个考生机，利用机房局域网进行通讯，监考管理系统负责考试的现场监控管理，考生作答系统用于考生登录验证、抽卷、作答、交卷。监考管理系统在考后可把考生作答数据加密压缩打包后通过上报工具上传至B/S考务管理系统；由“阅卷系统”集中评分。或者监考管理系统在考后通过评分程序对考生作答数据进行自动评分，把考生评析、考生作答详情进行加密压缩，最后通过上报工具上传至B/S考务管理系统。</w:t>
            </w:r>
          </w:p>
          <w:p>
            <w:pPr>
              <w:ind w:firstLine="480"/>
            </w:pPr>
            <w:r>
              <w:rPr>
                <w:color w:val="000000"/>
                <w:sz w:val="24"/>
              </w:rPr>
              <w:t>阅卷系统：能支持各科目的客观题（选择题、判断题、填空题等）自动评分、也支持信息技术科目的计算机操作题在</w:t>
            </w:r>
            <w:r>
              <w:rPr>
                <w:color w:val="000000"/>
                <w:sz w:val="24"/>
              </w:rPr>
              <w:t>Windows真实应用软件环境下自动评分，操作题自动评分支持分步判分、权重判分和范围值判分等多种判分手段，支持操作题判分中多项条件的与或非逻辑组合表达，同时支持若干个分布判分点组成联合判分。主观题能提供人工评分平台，支持单评或多评。</w:t>
            </w:r>
          </w:p>
          <w:p>
            <w:pPr>
              <w:ind w:firstLine="480"/>
            </w:pPr>
            <w:r>
              <w:rPr>
                <w:color w:val="000000"/>
                <w:sz w:val="24"/>
              </w:rPr>
              <w:t>同步备份系统：用于实时备份监考管理系统的数据，以及通过监考系统监控的考生作答数据。</w:t>
            </w:r>
          </w:p>
          <w:p>
            <w:pPr>
              <w:ind w:firstLine="482"/>
            </w:pPr>
            <w:r>
              <w:rPr>
                <w:b/>
                <w:color w:val="000000"/>
                <w:sz w:val="24"/>
              </w:rPr>
              <w:t>（</w:t>
            </w:r>
            <w:r>
              <w:rPr>
                <w:b/>
                <w:color w:val="000000"/>
                <w:sz w:val="24"/>
              </w:rPr>
              <w:t>2）试题转化系统</w:t>
            </w:r>
          </w:p>
          <w:p>
            <w:r>
              <w:rPr>
                <w:color w:val="000000"/>
                <w:sz w:val="24"/>
              </w:rPr>
              <w:t>采用开放式系统架构，支持广域网和局域网部署，可运行在</w:t>
            </w:r>
            <w:r>
              <w:rPr>
                <w:color w:val="000000"/>
                <w:sz w:val="24"/>
              </w:rPr>
              <w:t>Windows Server 2003、windows 2008 R2等操作系统上。试题转化系统功能包含两大块：一是用于试题的管理（试题添加），二是用于组卷及试卷发布（即发布多重加密的电子试卷包或题库包）。其中试题管理包括：试题的添加、修改，题型、知识点、判分规则的制定维护、试题测试等功能。组卷及试卷发布包括：试卷模板设置、组卷参数设置、试卷发布等功能。能够对音乐、美术、信息技术、通用技术、体育与健康科目能够完成加题、测试、组卷，发布多重加密的电子试卷包或题库包。</w:t>
            </w:r>
          </w:p>
          <w:p>
            <w:pPr>
              <w:ind w:firstLine="482"/>
            </w:pPr>
            <w:r>
              <w:rPr>
                <w:b/>
                <w:color w:val="000000"/>
                <w:sz w:val="24"/>
              </w:rPr>
              <w:t>具体功能：</w:t>
            </w:r>
          </w:p>
          <w:tbl>
            <w:tblPr>
              <w:tblBorders>
                <w:top w:val="none" w:color="000000" w:sz="4"/>
                <w:left w:val="none" w:color="000000" w:sz="4"/>
                <w:bottom w:val="none" w:color="000000" w:sz="4"/>
                <w:right w:val="none" w:color="000000" w:sz="4"/>
                <w:insideH w:val="none"/>
                <w:insideV w:val="none"/>
              </w:tblBorders>
            </w:tblPr>
            <w:tblGrid>
              <w:gridCol w:w="588"/>
              <w:gridCol w:w="5010"/>
            </w:tblGrid>
            <w:tr>
              <w:tc>
                <w:tcPr>
                  <w:tcW w:type="dxa" w:w="588"/>
                  <w:tcBorders>
                    <w:top w:val="single" w:color="000000" w:sz="4"/>
                    <w:left w:val="single" w:color="000000" w:sz="4"/>
                    <w:bottom w:val="single" w:color="000000" w:sz="4"/>
                    <w:right w:val="single" w:color="000000" w:sz="4"/>
                  </w:tcBorders>
                  <w:vAlign w:val="top"/>
                </w:tcPr>
                <w:p>
                  <w:pPr>
                    <w:jc w:val="center"/>
                  </w:pPr>
                  <w:r>
                    <w:rPr>
                      <w:b/>
                      <w:color w:val="000000"/>
                      <w:sz w:val="24"/>
                    </w:rPr>
                    <w:t>序号</w:t>
                  </w:r>
                </w:p>
              </w:tc>
              <w:tc>
                <w:tcPr>
                  <w:tcW w:type="dxa" w:w="5010"/>
                  <w:tcBorders>
                    <w:top w:val="single" w:color="000000" w:sz="4"/>
                    <w:left w:val="single" w:color="000000" w:sz="4"/>
                    <w:bottom w:val="single" w:color="000000" w:sz="4"/>
                    <w:right w:val="single" w:color="000000" w:sz="4"/>
                  </w:tcBorders>
                  <w:vAlign w:val="top"/>
                </w:tcPr>
                <w:p>
                  <w:pPr>
                    <w:jc w:val="center"/>
                  </w:pPr>
                  <w:r>
                    <w:rPr>
                      <w:b/>
                      <w:color w:val="000000"/>
                      <w:sz w:val="24"/>
                    </w:rPr>
                    <w:t>功能及功能要求</w:t>
                  </w:r>
                </w:p>
              </w:tc>
            </w:tr>
            <w:tr>
              <w:tc>
                <w:tcPr>
                  <w:tcW w:type="dxa" w:w="588"/>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5010"/>
                  <w:tcBorders>
                    <w:top w:val="none" w:color="000000" w:sz="4"/>
                    <w:left w:val="single" w:color="000000" w:sz="4"/>
                    <w:bottom w:val="single" w:color="000000" w:sz="4"/>
                    <w:right w:val="single" w:color="000000" w:sz="4"/>
                  </w:tcBorders>
                  <w:vAlign w:val="top"/>
                </w:tcPr>
                <w:p>
                  <w:r>
                    <w:rPr>
                      <w:b/>
                      <w:color w:val="000000"/>
                      <w:sz w:val="24"/>
                    </w:rPr>
                    <w:t>用户权限配置：</w:t>
                  </w:r>
                </w:p>
                <w:p>
                  <w:r>
                    <w:rPr>
                      <w:color w:val="000000"/>
                      <w:sz w:val="24"/>
                    </w:rPr>
                    <w:t>支持多用户、多权限，能对不同用户角色赋予不同的功能权限。题库中所有涉及的功能模块，均可通过权限配置分配给任意用户角色</w:t>
                  </w:r>
                  <w:r>
                    <w:rPr>
                      <w:color w:val="000000"/>
                      <w:sz w:val="24"/>
                    </w:rPr>
                    <w:t>。</w:t>
                  </w:r>
                </w:p>
              </w:tc>
            </w:tr>
            <w:tr>
              <w:tc>
                <w:tcPr>
                  <w:tcW w:type="dxa" w:w="588"/>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5010"/>
                  <w:tcBorders>
                    <w:top w:val="none" w:color="000000" w:sz="4"/>
                    <w:left w:val="single" w:color="000000" w:sz="4"/>
                    <w:bottom w:val="single" w:color="000000" w:sz="4"/>
                    <w:right w:val="single" w:color="000000" w:sz="4"/>
                  </w:tcBorders>
                  <w:vAlign w:val="top"/>
                </w:tcPr>
                <w:p>
                  <w:r>
                    <w:rPr>
                      <w:b/>
                      <w:sz w:val="24"/>
                    </w:rPr>
                    <w:t>试题与题库管理：</w:t>
                  </w:r>
                </w:p>
                <w:p>
                  <w:pPr>
                    <w:ind w:firstLine="480"/>
                  </w:pPr>
                  <w:r>
                    <w:rPr>
                      <w:sz w:val="24"/>
                    </w:rPr>
                    <w:t>（</w:t>
                  </w:r>
                  <w:r>
                    <w:rPr>
                      <w:sz w:val="24"/>
                    </w:rPr>
                    <w:t>1）佛山市教育局可以对科目、考试用书、模块、知识点、试题以及试题参数进行添加、删除和修改。能够多年积累试题形成海量题库并复用。能够方便安全地导入导出试题、知识点以及模块。</w:t>
                  </w:r>
                </w:p>
                <w:p>
                  <w:pPr>
                    <w:ind w:firstLine="480"/>
                  </w:pPr>
                  <w:r>
                    <w:rPr>
                      <w:sz w:val="24"/>
                    </w:rPr>
                    <w:t>（</w:t>
                  </w:r>
                  <w:r>
                    <w:rPr>
                      <w:sz w:val="24"/>
                    </w:rPr>
                    <w:t>2）支持各科目各类型试题添加、审验、修改和删除。试题支持公式编辑，图片、FLASH、声音和影片片段的插入、展现和排版；支持丰富的字体、字号和颜色设置，满足试题描述的不同目的要求。</w:t>
                  </w:r>
                </w:p>
                <w:p>
                  <w:pPr>
                    <w:ind w:firstLine="480"/>
                  </w:pPr>
                  <w:r>
                    <w:rPr>
                      <w:sz w:val="24"/>
                    </w:rPr>
                    <w:t>（</w:t>
                  </w:r>
                  <w:r>
                    <w:rPr>
                      <w:sz w:val="24"/>
                    </w:rPr>
                    <w:t>3）信息技术和通用技术科目试题类型：支持单选题、多选题、判断题、填空题、操作题、分析题、综合题。其中，操作题支持Windows界面操作、office 2003及以上版本操作、图像处理（Photoshop等）、多媒体作品播放与制作（Flash等）、计算机基础（VB、JAVA、Python）等单个软件或需要使用多个软件的操作题在Windows真实应用软件环境下的加题和自动评分。</w:t>
                  </w:r>
                </w:p>
                <w:p>
                  <w:pPr>
                    <w:ind w:firstLine="480"/>
                  </w:pPr>
                  <w:r>
                    <w:rPr>
                      <w:sz w:val="24"/>
                    </w:rPr>
                    <w:t>（</w:t>
                  </w:r>
                  <w:r>
                    <w:rPr>
                      <w:sz w:val="24"/>
                    </w:rPr>
                    <w:t>4）美术科目试题类型：支持单选、多选、判断、连线、排序、拼图、填色、配色、填空、综合分析题、操作题等。</w:t>
                  </w:r>
                </w:p>
                <w:p>
                  <w:pPr>
                    <w:ind w:firstLine="480"/>
                  </w:pPr>
                  <w:r>
                    <w:rPr>
                      <w:sz w:val="24"/>
                    </w:rPr>
                    <w:t>（</w:t>
                  </w:r>
                  <w:r>
                    <w:rPr>
                      <w:sz w:val="24"/>
                    </w:rPr>
                    <w:t>5）音乐科目试题类型：支持单选、多选、演唱、节拍、节奏、判断、连线、听辨等题型。</w:t>
                  </w:r>
                </w:p>
                <w:p>
                  <w:pPr>
                    <w:ind w:firstLine="480"/>
                  </w:pPr>
                  <w:r>
                    <w:rPr>
                      <w:sz w:val="24"/>
                    </w:rPr>
                    <w:t>（</w:t>
                  </w:r>
                  <w:r>
                    <w:rPr>
                      <w:sz w:val="24"/>
                    </w:rPr>
                    <w:t>6）具有试题自动查重功能，支持在试题录入、组卷过程中题目查重、题型查重、试卷查重。自动比对查重，将有重复的试题罗列出来，除了能自动计算出相似度，还能自动标识出差异部分。</w:t>
                  </w:r>
                </w:p>
                <w:p>
                  <w:pPr>
                    <w:ind w:firstLine="480"/>
                  </w:pPr>
                  <w:r>
                    <w:rPr>
                      <w:sz w:val="24"/>
                    </w:rPr>
                    <w:t>（</w:t>
                  </w:r>
                  <w:r>
                    <w:rPr>
                      <w:sz w:val="24"/>
                    </w:rPr>
                    <w:t>7）试题添加完成后，可在真实环境下进行模拟测试与自动评分，系统支持人工进行零分与满分测试的方式，确保试题的准确性。</w:t>
                  </w:r>
                </w:p>
              </w:tc>
            </w:tr>
            <w:tr>
              <w:tc>
                <w:tcPr>
                  <w:tcW w:type="dxa" w:w="588"/>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5010"/>
                  <w:tcBorders>
                    <w:top w:val="none" w:color="000000" w:sz="4"/>
                    <w:left w:val="single" w:color="000000" w:sz="4"/>
                    <w:bottom w:val="single" w:color="000000" w:sz="4"/>
                    <w:right w:val="single" w:color="000000" w:sz="4"/>
                  </w:tcBorders>
                  <w:vAlign w:val="top"/>
                </w:tcPr>
                <w:p>
                  <w:r>
                    <w:rPr>
                      <w:b/>
                      <w:sz w:val="24"/>
                    </w:rPr>
                    <w:t>智能组卷：</w:t>
                  </w:r>
                </w:p>
                <w:p>
                  <w:pPr>
                    <w:ind w:firstLine="480"/>
                  </w:pPr>
                  <w:r>
                    <w:rPr>
                      <w:sz w:val="24"/>
                    </w:rPr>
                    <w:t>（</w:t>
                  </w:r>
                  <w:r>
                    <w:rPr>
                      <w:sz w:val="24"/>
                    </w:rPr>
                    <w:t>1）支持多种组卷方式。提供手动组卷（按章节手动组卷、按知识点手动组卷）功能和智能组卷（按章节智能组卷、按知识点智能组卷、按双向细目表组卷）功能。提供平行组卷功能，通过已经组好的试卷，平行生成一套类似的试卷。提供套卷录入/导入功能。支持试题乱序、试题选项乱序等功能，并可对试卷模板策略与参数进行设置。组卷完成后可对试题进行增、删、改等操作。</w:t>
                  </w:r>
                </w:p>
                <w:p>
                  <w:pPr>
                    <w:ind w:firstLine="480"/>
                  </w:pPr>
                  <w:r>
                    <w:rPr>
                      <w:sz w:val="24"/>
                    </w:rPr>
                    <w:t>（</w:t>
                  </w:r>
                  <w:r>
                    <w:rPr>
                      <w:sz w:val="24"/>
                    </w:rPr>
                    <w:t>2）具有先进的试题加密技术，支持发布多重加密的试卷包（含参考答案、评分规则和考生试卷生成策略）。</w:t>
                  </w:r>
                </w:p>
                <w:p>
                  <w:pPr>
                    <w:ind w:firstLine="480"/>
                  </w:pPr>
                  <w:r>
                    <w:rPr>
                      <w:sz w:val="24"/>
                    </w:rPr>
                    <w:t>（</w:t>
                  </w:r>
                  <w:r>
                    <w:rPr>
                      <w:sz w:val="24"/>
                    </w:rPr>
                    <w:t>3）记录并提供查看考题的被历史选用情况，记录并查看各知识点历史被考察情况。</w:t>
                  </w:r>
                </w:p>
                <w:p>
                  <w:pPr>
                    <w:ind w:firstLine="480"/>
                  </w:pPr>
                  <w:r>
                    <w:rPr>
                      <w:sz w:val="24"/>
                    </w:rPr>
                    <w:t>（</w:t>
                  </w:r>
                  <w:r>
                    <w:rPr>
                      <w:sz w:val="24"/>
                    </w:rPr>
                    <w:t>4）支持模拟预览指定试卷的考生作答界面效果，确保出库试卷包没问题。</w:t>
                  </w:r>
                </w:p>
              </w:tc>
            </w:tr>
            <w:tr>
              <w:tc>
                <w:tcPr>
                  <w:tcW w:type="dxa" w:w="588"/>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5010"/>
                  <w:tcBorders>
                    <w:top w:val="none" w:color="000000" w:sz="4"/>
                    <w:left w:val="single" w:color="000000" w:sz="4"/>
                    <w:bottom w:val="single" w:color="000000" w:sz="4"/>
                    <w:right w:val="single" w:color="000000" w:sz="4"/>
                  </w:tcBorders>
                  <w:vAlign w:val="top"/>
                </w:tcPr>
                <w:p>
                  <w:r>
                    <w:rPr>
                      <w:b/>
                      <w:sz w:val="24"/>
                    </w:rPr>
                    <w:t>日志和统计：</w:t>
                  </w:r>
                </w:p>
                <w:p>
                  <w:r>
                    <w:rPr>
                      <w:sz w:val="24"/>
                    </w:rPr>
                    <w:t>系统提供完善的操作日志，任何用户对试题的任何操作系统能够自动记录，有权限的用户可以对组员的工作进行跟踪和统计，可以按用户、时间区间和操作类型进行日志搜索。</w:t>
                  </w:r>
                </w:p>
              </w:tc>
            </w:tr>
          </w:tbl>
          <w:p>
            <w:pPr>
              <w:ind w:firstLine="482"/>
            </w:pPr>
            <w:r>
              <w:rPr>
                <w:b/>
                <w:color w:val="000000"/>
                <w:sz w:val="24"/>
              </w:rPr>
              <w:t>（</w:t>
            </w:r>
            <w:r>
              <w:rPr>
                <w:b/>
                <w:color w:val="000000"/>
                <w:sz w:val="24"/>
              </w:rPr>
              <w:t>3）考务管理系统</w:t>
            </w:r>
          </w:p>
          <w:p>
            <w:pPr>
              <w:ind w:firstLine="480"/>
            </w:pPr>
            <w:r>
              <w:rPr>
                <w:sz w:val="24"/>
              </w:rPr>
              <w:t>采用</w:t>
            </w:r>
            <w:r>
              <w:rPr>
                <w:sz w:val="24"/>
              </w:rPr>
              <w:t>B/S架构，支持在Windows Server 2003、Windows Server 2008 r2+SQL2008 r2环境下部署运行。市、区县级考务管理员、考点、学校可直接通过浏览器(支持360浏览器、火狐和谷歌浏览器等浏览器)访问系统并进行相关操作。考务系统包含市级、区县级、学校（考点）级三级用户，根据不同的考务工作任务，设置不同的权限。。</w:t>
            </w:r>
          </w:p>
          <w:p>
            <w:pPr>
              <w:ind w:firstLine="482"/>
            </w:pPr>
            <w:r>
              <w:rPr>
                <w:b/>
                <w:color w:val="000000"/>
                <w:sz w:val="24"/>
              </w:rPr>
              <w:t>具体功能：</w:t>
            </w:r>
          </w:p>
          <w:tbl>
            <w:tblPr>
              <w:tblBorders>
                <w:top w:val="none" w:color="000000" w:sz="4"/>
                <w:left w:val="none" w:color="000000" w:sz="4"/>
                <w:bottom w:val="none" w:color="000000" w:sz="4"/>
                <w:right w:val="none" w:color="000000" w:sz="4"/>
                <w:insideH w:val="none"/>
                <w:insideV w:val="none"/>
              </w:tblBorders>
            </w:tblPr>
            <w:tblGrid>
              <w:gridCol w:w="562"/>
              <w:gridCol w:w="5036"/>
            </w:tblGrid>
            <w:tr>
              <w:tc>
                <w:tcPr>
                  <w:tcW w:type="dxa" w:w="562"/>
                  <w:tcBorders>
                    <w:top w:val="single" w:color="000000" w:sz="4"/>
                    <w:left w:val="single" w:color="000000" w:sz="4"/>
                    <w:bottom w:val="single" w:color="000000" w:sz="4"/>
                    <w:right w:val="single" w:color="000000" w:sz="4"/>
                  </w:tcBorders>
                  <w:vAlign w:val="top"/>
                </w:tcPr>
                <w:p>
                  <w:pPr>
                    <w:jc w:val="center"/>
                  </w:pPr>
                  <w:r>
                    <w:rPr>
                      <w:b/>
                      <w:color w:val="000000"/>
                      <w:sz w:val="24"/>
                    </w:rPr>
                    <w:t>序号</w:t>
                  </w:r>
                </w:p>
              </w:tc>
              <w:tc>
                <w:tcPr>
                  <w:tcW w:type="dxa" w:w="5036"/>
                  <w:tcBorders>
                    <w:top w:val="single" w:color="000000" w:sz="4"/>
                    <w:left w:val="single" w:color="000000" w:sz="4"/>
                    <w:bottom w:val="single" w:color="000000" w:sz="4"/>
                    <w:right w:val="single" w:color="000000" w:sz="4"/>
                  </w:tcBorders>
                  <w:vAlign w:val="top"/>
                </w:tcPr>
                <w:p>
                  <w:pPr>
                    <w:jc w:val="center"/>
                  </w:pPr>
                  <w:r>
                    <w:rPr>
                      <w:b/>
                      <w:color w:val="000000"/>
                      <w:sz w:val="24"/>
                    </w:rPr>
                    <w:t>功能及功能要求</w:t>
                  </w:r>
                </w:p>
              </w:tc>
            </w:tr>
            <w:tr>
              <w:tc>
                <w:tcPr>
                  <w:tcW w:type="dxa" w:w="562"/>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5036"/>
                  <w:tcBorders>
                    <w:top w:val="none" w:color="000000" w:sz="4"/>
                    <w:left w:val="single" w:color="000000" w:sz="4"/>
                    <w:bottom w:val="single" w:color="000000" w:sz="4"/>
                    <w:right w:val="single" w:color="000000" w:sz="4"/>
                  </w:tcBorders>
                  <w:vAlign w:val="top"/>
                </w:tcPr>
                <w:p>
                  <w:r>
                    <w:rPr>
                      <w:b/>
                      <w:sz w:val="24"/>
                    </w:rPr>
                    <w:t>市级功能：</w:t>
                  </w:r>
                </w:p>
                <w:p>
                  <w:pPr>
                    <w:ind w:firstLine="480"/>
                  </w:pPr>
                  <w:r>
                    <w:rPr>
                      <w:sz w:val="24"/>
                    </w:rPr>
                    <w:t>1．具备完善的权限管理功能模块。</w:t>
                  </w:r>
                </w:p>
                <w:p>
                  <w:pPr>
                    <w:ind w:firstLine="480"/>
                  </w:pPr>
                  <w:r>
                    <w:rPr>
                      <w:sz w:val="24"/>
                    </w:rPr>
                    <w:t>按单位（市招考办、区招考办、报名点、考点）从佛山市教育局的统一用户管理中选择账号在本系统新建账号并进行权限管理（用户管理、角色权限管理），实现市、区和学校（考点）用户信息分类管理和维护。自动识别账号所在学校的类别（完全中学、普通高中、普通初中）和校区。</w:t>
                  </w:r>
                </w:p>
                <w:p>
                  <w:pPr>
                    <w:ind w:firstLine="480"/>
                  </w:pPr>
                  <w:r>
                    <w:rPr>
                      <w:sz w:val="24"/>
                    </w:rPr>
                    <w:t>2．考场管理。</w:t>
                  </w:r>
                </w:p>
                <w:p>
                  <w:pPr>
                    <w:ind w:firstLine="480"/>
                  </w:pPr>
                  <w:r>
                    <w:rPr>
                      <w:sz w:val="24"/>
                    </w:rPr>
                    <w:t>（</w:t>
                  </w:r>
                  <w:r>
                    <w:rPr>
                      <w:sz w:val="24"/>
                    </w:rPr>
                    <w:t>1）考场注册审批，注册信息包含考点名称、考场名称、授权有效期，未经授权考场不能进行模拟考或考试。</w:t>
                  </w:r>
                </w:p>
                <w:p>
                  <w:pPr>
                    <w:ind w:firstLine="480"/>
                  </w:pPr>
                  <w:r>
                    <w:rPr>
                      <w:sz w:val="24"/>
                    </w:rPr>
                    <w:t>（</w:t>
                  </w:r>
                  <w:r>
                    <w:rPr>
                      <w:sz w:val="24"/>
                    </w:rPr>
                    <w:t>2）考场软硬件环境收集与展示。可设置考场软硬件环境各项目的达标标准，项目见“考生作答系统”中的检测事项。自动接收并更新监考机上传的考场软硬件环境检测结果。按市、区、考点、考场列表展示各项目的当前值及是否达标。</w:t>
                  </w:r>
                </w:p>
                <w:p>
                  <w:pPr>
                    <w:ind w:firstLine="480"/>
                  </w:pPr>
                  <w:r>
                    <w:rPr>
                      <w:sz w:val="24"/>
                    </w:rPr>
                    <w:t>3．报名数据管理。</w:t>
                  </w:r>
                </w:p>
                <w:p>
                  <w:pPr>
                    <w:ind w:firstLine="480"/>
                  </w:pPr>
                  <w:r>
                    <w:rPr>
                      <w:sz w:val="24"/>
                    </w:rPr>
                    <w:t>支持将佛山市普通高中和初中的报名数据导入本系统，支持将全市学籍数据导入本系统。考生数据包括辖区、学校名称、学校编码、姓名、性别、证件号、学籍号、班级、照片等。</w:t>
                  </w:r>
                </w:p>
                <w:p>
                  <w:pPr>
                    <w:ind w:firstLine="480"/>
                  </w:pPr>
                  <w:r>
                    <w:rPr>
                      <w:sz w:val="24"/>
                    </w:rPr>
                    <w:t>4．具备完善的考试编排功能模块。</w:t>
                  </w:r>
                </w:p>
                <w:p>
                  <w:pPr>
                    <w:ind w:firstLine="480"/>
                  </w:pPr>
                  <w:r>
                    <w:rPr>
                      <w:sz w:val="24"/>
                    </w:rPr>
                    <w:t>设定考试计划（设置考试任务名称、类别、科目、考试时间范围等）</w:t>
                  </w:r>
                  <w:r>
                    <w:rPr>
                      <w:sz w:val="24"/>
                    </w:rPr>
                    <w:t>,可按考务要求灵活设置考场模式或场次模式(场次数、各场次的开考时间，可导入各类考试的考场编排数据)。支持指定考生到考点、考场，支持按学校先后顺序、考生班级、学籍号、身份证号等规则自动编排、手动编排。可按考点一键生成发布考务包（含考试管理参数）导出或考场监考机联网下载导入。</w:t>
                  </w:r>
                </w:p>
                <w:p>
                  <w:pPr>
                    <w:ind w:firstLine="480"/>
                  </w:pPr>
                  <w:r>
                    <w:rPr>
                      <w:sz w:val="24"/>
                    </w:rPr>
                    <w:t>5．试卷管理。</w:t>
                  </w:r>
                </w:p>
                <w:p>
                  <w:pPr>
                    <w:ind w:firstLine="480"/>
                  </w:pPr>
                  <w:r>
                    <w:rPr>
                      <w:sz w:val="24"/>
                    </w:rPr>
                    <w:t>导入从试题转化系统获取的试卷包，重新生成供监考机下载的试卷包（不含参考答案和评分规则）。</w:t>
                  </w:r>
                </w:p>
                <w:p>
                  <w:pPr>
                    <w:ind w:firstLine="480"/>
                  </w:pPr>
                  <w:r>
                    <w:rPr>
                      <w:sz w:val="24"/>
                    </w:rPr>
                    <w:t>6．考试过程智慧管理。</w:t>
                  </w:r>
                </w:p>
                <w:p>
                  <w:pPr>
                    <w:ind w:firstLine="480"/>
                  </w:pPr>
                  <w:r>
                    <w:rPr>
                      <w:sz w:val="24"/>
                    </w:rPr>
                    <w:t>考前，对考点环境准备、考务包下载、试卷包下载等情况进行监控。考中，对考点考场开考、缺考、违纪、考生作答及异常处理情况进行监控。监控的数据包括</w:t>
                  </w:r>
                  <w:r>
                    <w:rPr>
                      <w:sz w:val="24"/>
                    </w:rPr>
                    <w:t>:总人数、登录人数、缺考人数、违纪人数、考试中人数、重置人次、补时人次、交卷人数等。监控范围支持全市、区、考点、考场，按市、区、考点、考场。考后，对考点考试结束及作答包上传情况进行监控，统计各考场作答包提交情况，打印异常考生情况表，包含考生信息及异常原因等，供监考员给考生签名。</w:t>
                  </w:r>
                </w:p>
                <w:p>
                  <w:pPr>
                    <w:ind w:firstLine="480"/>
                  </w:pPr>
                  <w:r>
                    <w:rPr>
                      <w:sz w:val="24"/>
                    </w:rPr>
                    <w:t>7．自动分科目合成考生成绩（最终成绩=过程性评价+计算机辅助考试成绩）。</w:t>
                  </w:r>
                </w:p>
                <w:p>
                  <w:pPr>
                    <w:ind w:firstLine="480"/>
                  </w:pPr>
                  <w:r>
                    <w:rPr>
                      <w:sz w:val="24"/>
                    </w:rPr>
                    <w:t>考务管理员设置好每个科目成绩的计算机辅助考试成绩、实践成绩（过程性评价成绩）、技能考核成绩的所占比率。通过</w:t>
                  </w:r>
                  <w:r>
                    <w:rPr>
                      <w:sz w:val="24"/>
                    </w:rPr>
                    <w:t>“实操分管理”，导入考生各科目实践成绩、技能考核成绩。通过“成绩等级管理”，设置各科目的成绩等级线【A、B、C、D】。</w:t>
                  </w:r>
                </w:p>
                <w:p>
                  <w:pPr>
                    <w:ind w:firstLine="480"/>
                  </w:pPr>
                  <w:r>
                    <w:rPr>
                      <w:sz w:val="24"/>
                    </w:rPr>
                    <w:t>8．成绩查询。</w:t>
                  </w:r>
                </w:p>
                <w:p>
                  <w:pPr>
                    <w:ind w:firstLine="480"/>
                  </w:pPr>
                  <w:r>
                    <w:rPr>
                      <w:sz w:val="24"/>
                    </w:rPr>
                    <w:t>通过</w:t>
                  </w:r>
                  <w:r>
                    <w:rPr>
                      <w:sz w:val="24"/>
                    </w:rPr>
                    <w:t>“成绩查询”，可查看已考的每个考生计算机辅助考试试卷具体评析，成绩导出以市、考点、学校为单位，文件类型是dbf或excel。通过“成绩核查登记”，可随时录入要核查的某个考生信息。</w:t>
                  </w:r>
                </w:p>
              </w:tc>
            </w:tr>
            <w:tr>
              <w:tc>
                <w:tcPr>
                  <w:tcW w:type="dxa" w:w="562"/>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5036"/>
                  <w:tcBorders>
                    <w:top w:val="none" w:color="000000" w:sz="4"/>
                    <w:left w:val="single" w:color="000000" w:sz="4"/>
                    <w:bottom w:val="single" w:color="000000" w:sz="4"/>
                    <w:right w:val="single" w:color="000000" w:sz="4"/>
                  </w:tcBorders>
                  <w:vAlign w:val="top"/>
                </w:tcPr>
                <w:p>
                  <w:r>
                    <w:rPr>
                      <w:b/>
                      <w:sz w:val="24"/>
                    </w:rPr>
                    <w:t>区级功能：</w:t>
                  </w:r>
                </w:p>
                <w:p>
                  <w:pPr>
                    <w:ind w:firstLine="480"/>
                  </w:pPr>
                  <w:r>
                    <w:rPr>
                      <w:sz w:val="24"/>
                    </w:rPr>
                    <w:t>1．根据市分配的权限查看本区数据。如：考场管理、考试编排、考试过程智慧管理、成绩、成绩统计分析等。</w:t>
                  </w:r>
                </w:p>
                <w:p>
                  <w:pPr>
                    <w:ind w:firstLine="480"/>
                  </w:pPr>
                  <w:r>
                    <w:rPr>
                      <w:sz w:val="24"/>
                    </w:rPr>
                    <w:t>2．设置本区考点，编排报名点到考点。</w:t>
                  </w:r>
                </w:p>
                <w:p>
                  <w:pPr>
                    <w:ind w:firstLine="480"/>
                  </w:pPr>
                  <w:r>
                    <w:rPr>
                      <w:sz w:val="24"/>
                    </w:rPr>
                    <w:t>3．审核考点、报名信息、科目免考和考生科目缓考资格。</w:t>
                  </w:r>
                </w:p>
                <w:p>
                  <w:pPr>
                    <w:ind w:firstLine="480"/>
                  </w:pPr>
                  <w:r>
                    <w:rPr>
                      <w:sz w:val="24"/>
                    </w:rPr>
                    <w:t>4. 支持对已导入本系统的有学籍考生更改辖区和所属学校。</w:t>
                  </w:r>
                </w:p>
              </w:tc>
            </w:tr>
            <w:tr>
              <w:tc>
                <w:tcPr>
                  <w:tcW w:type="dxa" w:w="562"/>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5036"/>
                  <w:tcBorders>
                    <w:top w:val="none" w:color="000000" w:sz="4"/>
                    <w:left w:val="single" w:color="000000" w:sz="4"/>
                    <w:bottom w:val="single" w:color="000000" w:sz="4"/>
                    <w:right w:val="single" w:color="000000" w:sz="4"/>
                  </w:tcBorders>
                  <w:vAlign w:val="top"/>
                </w:tcPr>
                <w:p>
                  <w:r>
                    <w:rPr>
                      <w:b/>
                      <w:sz w:val="24"/>
                    </w:rPr>
                    <w:t>考点功能：</w:t>
                  </w:r>
                </w:p>
                <w:p>
                  <w:pPr>
                    <w:ind w:firstLine="480"/>
                  </w:pPr>
                  <w:r>
                    <w:rPr>
                      <w:sz w:val="24"/>
                    </w:rPr>
                    <w:t>1．申报考点。考点信息包括考点名称、地址、唯一编码、辖区、考场数、联系人及联系电话（主考、考务主任、系统管理员、网络管理员等）、各考场信息（名称、唯一编码、机位数等）。</w:t>
                  </w:r>
                </w:p>
                <w:p>
                  <w:pPr>
                    <w:ind w:firstLine="480"/>
                  </w:pPr>
                  <w:r>
                    <w:rPr>
                      <w:sz w:val="24"/>
                    </w:rPr>
                    <w:t>2．根据市分配的权限查看本考点数据。如：考场管理、考试编排、考试过程智慧管理。</w:t>
                  </w:r>
                </w:p>
              </w:tc>
            </w:tr>
          </w:tbl>
          <w:p>
            <w:pPr>
              <w:ind w:firstLine="482"/>
            </w:pPr>
            <w:r>
              <w:rPr>
                <w:b/>
                <w:color w:val="000000"/>
                <w:sz w:val="24"/>
              </w:rPr>
              <w:t>（</w:t>
            </w:r>
            <w:r>
              <w:rPr>
                <w:b/>
                <w:color w:val="000000"/>
                <w:sz w:val="24"/>
              </w:rPr>
              <w:t>4）监考管理系统</w:t>
            </w:r>
          </w:p>
          <w:p>
            <w:pPr>
              <w:ind w:firstLine="480"/>
            </w:pPr>
            <w:r>
              <w:rPr>
                <w:sz w:val="24"/>
              </w:rPr>
              <w:t>采用</w:t>
            </w:r>
            <w:r>
              <w:rPr>
                <w:sz w:val="24"/>
              </w:rPr>
              <w:t>C/S架构（监考机为服务器、学生机为客户端），部署在各考场的监考机上，管理考场的软硬件设备和考试任务，实现单个考场的考务包和试卷包导入（网络方式或存储介质方式）、生成各考试机试卷，控制考试进程，进行考场异常处理，收集、保存、校验、打包上传/导出考生作答包等功能。</w:t>
            </w:r>
          </w:p>
          <w:p>
            <w:pPr>
              <w:ind w:firstLine="480"/>
            </w:pPr>
            <w:r>
              <w:rPr>
                <w:sz w:val="24"/>
              </w:rPr>
              <w:t>用户登录对接佛山市教育局的统一用户管理与身份验证系统，联网认证操作用户。</w:t>
            </w:r>
          </w:p>
          <w:p>
            <w:pPr>
              <w:ind w:firstLine="482"/>
            </w:pPr>
            <w:r>
              <w:rPr>
                <w:b/>
                <w:color w:val="000000"/>
                <w:sz w:val="24"/>
              </w:rPr>
              <w:t>具体功能：</w:t>
            </w:r>
          </w:p>
          <w:tbl>
            <w:tblPr>
              <w:tblBorders>
                <w:top w:val="none" w:color="000000" w:sz="4"/>
                <w:left w:val="none" w:color="000000" w:sz="4"/>
                <w:bottom w:val="none" w:color="000000" w:sz="4"/>
                <w:right w:val="none" w:color="000000" w:sz="4"/>
                <w:insideH w:val="none"/>
                <w:insideV w:val="none"/>
              </w:tblBorders>
            </w:tblPr>
            <w:tblGrid>
              <w:gridCol w:w="549"/>
              <w:gridCol w:w="5049"/>
            </w:tblGrid>
            <w:tr>
              <w:tc>
                <w:tcPr>
                  <w:tcW w:type="dxa" w:w="549"/>
                  <w:tcBorders>
                    <w:top w:val="single" w:color="000000" w:sz="4"/>
                    <w:left w:val="single" w:color="000000" w:sz="4"/>
                    <w:bottom w:val="single" w:color="000000" w:sz="4"/>
                    <w:right w:val="single" w:color="000000" w:sz="4"/>
                  </w:tcBorders>
                  <w:vAlign w:val="top"/>
                </w:tcPr>
                <w:p>
                  <w:pPr>
                    <w:jc w:val="center"/>
                  </w:pPr>
                  <w:r>
                    <w:rPr>
                      <w:b/>
                      <w:color w:val="000000"/>
                      <w:sz w:val="24"/>
                    </w:rPr>
                    <w:t>序号</w:t>
                  </w:r>
                </w:p>
              </w:tc>
              <w:tc>
                <w:tcPr>
                  <w:tcW w:type="dxa" w:w="5049"/>
                  <w:tcBorders>
                    <w:top w:val="single" w:color="000000" w:sz="4"/>
                    <w:left w:val="single" w:color="000000" w:sz="4"/>
                    <w:bottom w:val="single" w:color="000000" w:sz="4"/>
                    <w:right w:val="single" w:color="000000" w:sz="4"/>
                  </w:tcBorders>
                  <w:vAlign w:val="top"/>
                </w:tcPr>
                <w:p>
                  <w:pPr>
                    <w:jc w:val="center"/>
                  </w:pPr>
                  <w:r>
                    <w:rPr>
                      <w:b/>
                      <w:color w:val="000000"/>
                      <w:sz w:val="24"/>
                    </w:rPr>
                    <w:t>功能及功能要求</w:t>
                  </w:r>
                </w:p>
              </w:tc>
            </w:tr>
            <w:tr>
              <w:tc>
                <w:tcPr>
                  <w:tcW w:type="dxa" w:w="549"/>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5049"/>
                  <w:tcBorders>
                    <w:top w:val="none" w:color="000000" w:sz="4"/>
                    <w:left w:val="single" w:color="000000" w:sz="4"/>
                    <w:bottom w:val="single" w:color="000000" w:sz="4"/>
                    <w:right w:val="single" w:color="000000" w:sz="4"/>
                  </w:tcBorders>
                  <w:vAlign w:val="top"/>
                </w:tcPr>
                <w:p>
                  <w:r>
                    <w:rPr>
                      <w:color w:val="000000"/>
                      <w:sz w:val="24"/>
                    </w:rPr>
                    <w:t>考场（机房）管理：考场申请注册。自动检测各考试机的软硬件环境配置，生成考场测试报告查看、上报并可导出。可统一升级管理考试计算机辅助考试软件版本。模拟真实的考试作答过程，检验考试机软硬件环境。</w:t>
                  </w:r>
                </w:p>
              </w:tc>
            </w:tr>
            <w:tr>
              <w:tc>
                <w:tcPr>
                  <w:tcW w:type="dxa" w:w="549"/>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5049"/>
                  <w:tcBorders>
                    <w:top w:val="none" w:color="000000" w:sz="4"/>
                    <w:left w:val="single" w:color="000000" w:sz="4"/>
                    <w:bottom w:val="single" w:color="000000" w:sz="4"/>
                    <w:right w:val="single" w:color="000000" w:sz="4"/>
                  </w:tcBorders>
                  <w:vAlign w:val="top"/>
                </w:tcPr>
                <w:p>
                  <w:pPr>
                    <w:ind w:firstLine="480"/>
                  </w:pPr>
                  <w:r>
                    <w:rPr>
                      <w:sz w:val="24"/>
                    </w:rPr>
                    <w:t>考试机管理：自动检测学生机答题环境和监考机监考环境，并进行初始化。可统一开启考试机、统一开启作答系统、统一管理作答系统（允许登录、分发试卷、开考、结束考试等）、统一关闭考试机；支持单个或批量管理考试机。</w:t>
                  </w:r>
                </w:p>
              </w:tc>
            </w:tr>
            <w:tr>
              <w:tc>
                <w:tcPr>
                  <w:tcW w:type="dxa" w:w="549"/>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5049"/>
                  <w:tcBorders>
                    <w:top w:val="none" w:color="000000" w:sz="4"/>
                    <w:left w:val="single" w:color="000000" w:sz="4"/>
                    <w:bottom w:val="single" w:color="000000" w:sz="4"/>
                    <w:right w:val="single" w:color="000000" w:sz="4"/>
                  </w:tcBorders>
                  <w:vAlign w:val="top"/>
                </w:tcPr>
                <w:p>
                  <w:pPr>
                    <w:ind w:firstLine="480"/>
                  </w:pPr>
                  <w:r>
                    <w:rPr>
                      <w:sz w:val="24"/>
                    </w:rPr>
                    <w:t>试题管理：自动从考务管理系统下载本考场当前考试的考务包和试卷包。允许考生登录后，按试题随机排序及试题答案选项乱序规则生成各考试机试卷。能够设置考试类别（初中</w:t>
                  </w:r>
                  <w:r>
                    <w:rPr>
                      <w:sz w:val="24"/>
                    </w:rPr>
                    <w:t>/高中）及科目，并根据设置对导入数据进行校验，避免导入错误数据造成考试无法顺利进行。</w:t>
                  </w:r>
                </w:p>
              </w:tc>
            </w:tr>
            <w:tr>
              <w:tc>
                <w:tcPr>
                  <w:tcW w:type="dxa" w:w="549"/>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5049"/>
                  <w:tcBorders>
                    <w:top w:val="none" w:color="000000" w:sz="4"/>
                    <w:left w:val="single" w:color="000000" w:sz="4"/>
                    <w:bottom w:val="single" w:color="000000" w:sz="4"/>
                    <w:right w:val="single" w:color="000000" w:sz="4"/>
                  </w:tcBorders>
                  <w:vAlign w:val="top"/>
                </w:tcPr>
                <w:p>
                  <w:pPr>
                    <w:ind w:firstLine="480"/>
                  </w:pPr>
                  <w:r>
                    <w:rPr>
                      <w:sz w:val="24"/>
                    </w:rPr>
                    <w:t>考试数据处理：考生作答包自动回收、保存和上传</w:t>
                  </w:r>
                  <w:r>
                    <w:rPr>
                      <w:sz w:val="24"/>
                    </w:rPr>
                    <w:t>/导出；系统自动校验数据完整性、可用性。每场考试完成后应能及时生成考场记录表（包括考生名单、总人数、实考、缺考、违纪、弃考、未成功、异常情况等），考场记录表可以通过系统打印或导出。可对指定场次数据进行答卷备份打包，作答包包括本考场全部作答记录、考场记录表、日志等。</w:t>
                  </w:r>
                </w:p>
              </w:tc>
            </w:tr>
            <w:tr>
              <w:tc>
                <w:tcPr>
                  <w:tcW w:type="dxa" w:w="549"/>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5049"/>
                  <w:tcBorders>
                    <w:top w:val="none" w:color="000000" w:sz="4"/>
                    <w:left w:val="single" w:color="000000" w:sz="4"/>
                    <w:bottom w:val="single" w:color="000000" w:sz="4"/>
                    <w:right w:val="single" w:color="000000" w:sz="4"/>
                  </w:tcBorders>
                  <w:vAlign w:val="top"/>
                </w:tcPr>
                <w:p>
                  <w:pPr>
                    <w:ind w:firstLine="480"/>
                  </w:pPr>
                  <w:r>
                    <w:rPr>
                      <w:sz w:val="24"/>
                    </w:rPr>
                    <w:t>考试监考：实时监控每位考生登录信息、考试机试卷接收进度及状态、开考时间、交卷时间、在线状态、试音状态、机器状况、答题状态、作答进度、考试机上传答案进度及状态等信息。在明显位置显示本考场当前场次（可按班编排）汇总信息（考生总数、实考、缺考、违纪、未成功人数等）。</w:t>
                  </w:r>
                </w:p>
              </w:tc>
            </w:tr>
            <w:tr>
              <w:tc>
                <w:tcPr>
                  <w:tcW w:type="dxa" w:w="549"/>
                  <w:tcBorders>
                    <w:top w:val="none" w:color="000000" w:sz="4"/>
                    <w:left w:val="single" w:color="000000" w:sz="4"/>
                    <w:bottom w:val="single" w:color="000000" w:sz="4"/>
                    <w:right w:val="single" w:color="000000" w:sz="4"/>
                  </w:tcBorders>
                  <w:vAlign w:val="top"/>
                </w:tcPr>
                <w:p>
                  <w:pPr>
                    <w:jc w:val="center"/>
                  </w:pPr>
                  <w:r>
                    <w:rPr>
                      <w:color w:val="000000"/>
                      <w:sz w:val="24"/>
                    </w:rPr>
                    <w:t>6</w:t>
                  </w:r>
                </w:p>
              </w:tc>
              <w:tc>
                <w:tcPr>
                  <w:tcW w:type="dxa" w:w="5049"/>
                  <w:tcBorders>
                    <w:top w:val="none" w:color="000000" w:sz="4"/>
                    <w:left w:val="single" w:color="000000" w:sz="4"/>
                    <w:bottom w:val="single" w:color="000000" w:sz="4"/>
                    <w:right w:val="single" w:color="000000" w:sz="4"/>
                  </w:tcBorders>
                  <w:vAlign w:val="top"/>
                </w:tcPr>
                <w:p>
                  <w:pPr>
                    <w:ind w:firstLine="480"/>
                  </w:pPr>
                  <w:r>
                    <w:rPr>
                      <w:sz w:val="24"/>
                    </w:rPr>
                    <w:t>异常处理：具备对任意一名考生状态进行设置，包括违纪、缺考、补时、重考（未考或标记考试机故障）。支持停电、死机、蓝屏、断网等特殊情况处理，支持同一账号在本机或异机断点续考，自动记录断考时间，重新开考后自动延时，具有完备的试卷重发及交卷异常处理功能（单机收卷、备份收卷等），保证考试顺利进行。</w:t>
                  </w:r>
                </w:p>
              </w:tc>
            </w:tr>
            <w:tr>
              <w:tc>
                <w:tcPr>
                  <w:tcW w:type="dxa" w:w="549"/>
                  <w:tcBorders>
                    <w:top w:val="none" w:color="000000" w:sz="4"/>
                    <w:left w:val="single" w:color="000000" w:sz="4"/>
                    <w:bottom w:val="single" w:color="000000" w:sz="4"/>
                    <w:right w:val="single" w:color="000000" w:sz="4"/>
                  </w:tcBorders>
                  <w:vAlign w:val="top"/>
                </w:tcPr>
                <w:p>
                  <w:pPr>
                    <w:jc w:val="center"/>
                  </w:pPr>
                  <w:r>
                    <w:rPr>
                      <w:color w:val="000000"/>
                      <w:sz w:val="24"/>
                    </w:rPr>
                    <w:t>7</w:t>
                  </w:r>
                </w:p>
              </w:tc>
              <w:tc>
                <w:tcPr>
                  <w:tcW w:type="dxa" w:w="5049"/>
                  <w:tcBorders>
                    <w:top w:val="none" w:color="000000" w:sz="4"/>
                    <w:left w:val="single" w:color="000000" w:sz="4"/>
                    <w:bottom w:val="single" w:color="000000" w:sz="4"/>
                    <w:right w:val="single" w:color="000000" w:sz="4"/>
                  </w:tcBorders>
                  <w:vAlign w:val="top"/>
                </w:tcPr>
                <w:p>
                  <w:pPr>
                    <w:ind w:firstLine="480"/>
                  </w:pPr>
                  <w:r>
                    <w:rPr>
                      <w:sz w:val="24"/>
                    </w:rPr>
                    <w:t>支持模拟考试，模拟考试的操作流程和正式考试操作流程完全一致，但正式考试当天不得执行模拟考试操作。模拟考试结束后可一键初始化到模拟考试前状态，完全清空模拟考试有关数据。</w:t>
                  </w:r>
                </w:p>
              </w:tc>
            </w:tr>
            <w:tr>
              <w:tc>
                <w:tcPr>
                  <w:tcW w:type="dxa" w:w="549"/>
                  <w:tcBorders>
                    <w:top w:val="none" w:color="000000" w:sz="4"/>
                    <w:left w:val="single" w:color="000000" w:sz="4"/>
                    <w:bottom w:val="single" w:color="000000" w:sz="4"/>
                    <w:right w:val="single" w:color="000000" w:sz="4"/>
                  </w:tcBorders>
                  <w:vAlign w:val="top"/>
                </w:tcPr>
                <w:p>
                  <w:pPr>
                    <w:jc w:val="center"/>
                  </w:pPr>
                  <w:r>
                    <w:rPr>
                      <w:color w:val="000000"/>
                      <w:sz w:val="24"/>
                    </w:rPr>
                    <w:t>8</w:t>
                  </w:r>
                </w:p>
              </w:tc>
              <w:tc>
                <w:tcPr>
                  <w:tcW w:type="dxa" w:w="5049"/>
                  <w:tcBorders>
                    <w:top w:val="none" w:color="000000" w:sz="4"/>
                    <w:left w:val="single" w:color="000000" w:sz="4"/>
                    <w:bottom w:val="single" w:color="000000" w:sz="4"/>
                    <w:right w:val="single" w:color="000000" w:sz="4"/>
                  </w:tcBorders>
                  <w:vAlign w:val="top"/>
                </w:tcPr>
                <w:p>
                  <w:pPr>
                    <w:ind w:firstLine="480"/>
                  </w:pPr>
                  <w:r>
                    <w:rPr>
                      <w:sz w:val="24"/>
                    </w:rPr>
                    <w:t>同步备份：支持主备监考机互为备份，实现主备监考机快速切换。</w:t>
                  </w:r>
                </w:p>
              </w:tc>
            </w:tr>
          </w:tbl>
          <w:p>
            <w:pPr>
              <w:ind w:firstLine="482"/>
            </w:pPr>
            <w:r>
              <w:rPr>
                <w:b/>
                <w:color w:val="000000"/>
                <w:sz w:val="24"/>
              </w:rPr>
              <w:t>（</w:t>
            </w:r>
            <w:r>
              <w:rPr>
                <w:b/>
                <w:color w:val="000000"/>
                <w:sz w:val="24"/>
              </w:rPr>
              <w:t>5）考生作答系统</w:t>
            </w:r>
          </w:p>
          <w:p>
            <w:pPr>
              <w:ind w:firstLine="480"/>
            </w:pPr>
            <w:r>
              <w:rPr>
                <w:sz w:val="24"/>
              </w:rPr>
              <w:t>采用</w:t>
            </w:r>
            <w:r>
              <w:rPr>
                <w:sz w:val="24"/>
              </w:rPr>
              <w:t>C/S架构（监考机为服务器、学生机为客户端），部署在学生考试机上。同监考机控制端软件配套使用，实现考生登录、试音、考试须知、作答、倒计时、交卷等功能，满足考生考试的要求。具有操作界面美观简洁，功能适用的特点，同时还具备对考试机相关设备进行检测，并能配合监考机对考场软硬件环境进行集中测试。</w:t>
            </w:r>
          </w:p>
          <w:p>
            <w:pPr>
              <w:ind w:firstLine="482"/>
            </w:pPr>
            <w:r>
              <w:rPr>
                <w:b/>
                <w:color w:val="000000"/>
                <w:sz w:val="24"/>
              </w:rPr>
              <w:t>具体功能：</w:t>
            </w:r>
          </w:p>
          <w:tbl>
            <w:tblPr>
              <w:tblBorders>
                <w:top w:val="none" w:color="000000" w:sz="4"/>
                <w:left w:val="none" w:color="000000" w:sz="4"/>
                <w:bottom w:val="none" w:color="000000" w:sz="4"/>
                <w:right w:val="none" w:color="000000" w:sz="4"/>
                <w:insideH w:val="none"/>
                <w:insideV w:val="none"/>
              </w:tblBorders>
            </w:tblPr>
            <w:tblGrid>
              <w:gridCol w:w="551"/>
              <w:gridCol w:w="5047"/>
            </w:tblGrid>
            <w:tr>
              <w:tc>
                <w:tcPr>
                  <w:tcW w:type="dxa" w:w="551"/>
                  <w:tcBorders>
                    <w:top w:val="single" w:color="000000" w:sz="4"/>
                    <w:left w:val="single" w:color="000000" w:sz="4"/>
                    <w:bottom w:val="single" w:color="000000" w:sz="4"/>
                    <w:right w:val="single" w:color="000000" w:sz="4"/>
                  </w:tcBorders>
                  <w:vAlign w:val="top"/>
                </w:tcPr>
                <w:p>
                  <w:pPr>
                    <w:jc w:val="center"/>
                  </w:pPr>
                  <w:r>
                    <w:rPr>
                      <w:b/>
                      <w:color w:val="000000"/>
                      <w:sz w:val="24"/>
                    </w:rPr>
                    <w:t>序号</w:t>
                  </w:r>
                </w:p>
              </w:tc>
              <w:tc>
                <w:tcPr>
                  <w:tcW w:type="dxa" w:w="5047"/>
                  <w:tcBorders>
                    <w:top w:val="single" w:color="000000" w:sz="4"/>
                    <w:left w:val="single" w:color="000000" w:sz="4"/>
                    <w:bottom w:val="single" w:color="000000" w:sz="4"/>
                    <w:right w:val="single" w:color="000000" w:sz="4"/>
                  </w:tcBorders>
                  <w:vAlign w:val="top"/>
                </w:tcPr>
                <w:p>
                  <w:pPr>
                    <w:jc w:val="center"/>
                  </w:pPr>
                  <w:r>
                    <w:rPr>
                      <w:b/>
                      <w:color w:val="000000"/>
                      <w:sz w:val="24"/>
                    </w:rPr>
                    <w:t>功能及功能要求</w:t>
                  </w:r>
                </w:p>
              </w:tc>
            </w:tr>
            <w:tr>
              <w:tc>
                <w:tcPr>
                  <w:tcW w:type="dxa" w:w="551"/>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5047"/>
                  <w:tcBorders>
                    <w:top w:val="none" w:color="000000" w:sz="4"/>
                    <w:left w:val="single" w:color="000000" w:sz="4"/>
                    <w:bottom w:val="single" w:color="000000" w:sz="4"/>
                    <w:right w:val="single" w:color="000000" w:sz="4"/>
                  </w:tcBorders>
                  <w:vAlign w:val="top"/>
                </w:tcPr>
                <w:p>
                  <w:r>
                    <w:rPr>
                      <w:color w:val="000000"/>
                      <w:sz w:val="24"/>
                    </w:rPr>
                    <w:t>软硬件环境检测与实时监控。启动软件时自动检测本机的软硬件环境是否符合佛山市计算机辅助考试要求，不达标就不能进入登录作答环节。硬件检测至少包括</w:t>
                  </w:r>
                  <w:r>
                    <w:rPr>
                      <w:color w:val="000000"/>
                      <w:sz w:val="24"/>
                    </w:rPr>
                    <w:t>CPU、内存、硬盘可用空间、显卡、显示器、网卡、声卡、耳机（含麦克风）、鼠标、键盘等；网络环境检测至少包括上传下载速度、丢包率；软件检测至少包括指定的作答系统和考试操作软件的名称及其版本（是否在考试版本范围）、能否正常打开及操作。实时监控声卡、耳机（含麦克风）、鼠标、键盘等硬件工作状态并上报监考机，确保考生能正常作答。</w:t>
                  </w:r>
                </w:p>
              </w:tc>
            </w:tr>
            <w:tr>
              <w:tc>
                <w:tcPr>
                  <w:tcW w:type="dxa" w:w="551"/>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5047"/>
                  <w:tcBorders>
                    <w:top w:val="none" w:color="000000" w:sz="4"/>
                    <w:left w:val="single" w:color="000000" w:sz="4"/>
                    <w:bottom w:val="single" w:color="000000" w:sz="4"/>
                    <w:right w:val="single" w:color="000000" w:sz="4"/>
                  </w:tcBorders>
                  <w:vAlign w:val="top"/>
                </w:tcPr>
                <w:p>
                  <w:pPr>
                    <w:ind w:firstLine="480"/>
                  </w:pPr>
                  <w:r>
                    <w:rPr>
                      <w:sz w:val="24"/>
                    </w:rPr>
                    <w:t>开考前有关环节。</w:t>
                  </w:r>
                </w:p>
                <w:p>
                  <w:pPr>
                    <w:ind w:firstLine="480"/>
                  </w:pPr>
                  <w:r>
                    <w:rPr>
                      <w:sz w:val="24"/>
                    </w:rPr>
                    <w:t>（</w:t>
                  </w:r>
                  <w:r>
                    <w:rPr>
                      <w:sz w:val="24"/>
                    </w:rPr>
                    <w:t>1）考生入场时，考试机屏幕醒目显示座位号和考生姓名。如为按班级编排无具体场次座位编排时，监考机选择开考班级时自动随机生成每个考生的座位号。</w:t>
                  </w:r>
                </w:p>
                <w:p>
                  <w:pPr>
                    <w:ind w:firstLine="480"/>
                  </w:pPr>
                  <w:r>
                    <w:rPr>
                      <w:sz w:val="24"/>
                    </w:rPr>
                    <w:t>（</w:t>
                  </w:r>
                  <w:r>
                    <w:rPr>
                      <w:sz w:val="24"/>
                    </w:rPr>
                    <w:t>2）考生输入自己的证件号后，考生登录界面自动加载出考生姓名、学校名称、照片等信息，供监考老师和考生本人核对，并由考生录入密码。</w:t>
                  </w:r>
                </w:p>
                <w:p>
                  <w:pPr>
                    <w:ind w:firstLine="480"/>
                  </w:pPr>
                  <w:r>
                    <w:rPr>
                      <w:sz w:val="24"/>
                    </w:rPr>
                    <w:t>（</w:t>
                  </w:r>
                  <w:r>
                    <w:rPr>
                      <w:sz w:val="24"/>
                    </w:rPr>
                    <w:t>3）具有考前调试耳机、调试麦克风的功能，根据试卷是否有多媒体试题自动弹出调试界面。</w:t>
                  </w:r>
                </w:p>
                <w:p>
                  <w:pPr>
                    <w:ind w:firstLine="480"/>
                  </w:pPr>
                  <w:r>
                    <w:rPr>
                      <w:sz w:val="24"/>
                    </w:rPr>
                    <w:t>（</w:t>
                  </w:r>
                  <w:r>
                    <w:rPr>
                      <w:sz w:val="24"/>
                    </w:rPr>
                    <w:t>4）进入抽卷下载界面，抽卷成功，显示试卷结构、注意事项，等待监考员发出开考指令。</w:t>
                  </w:r>
                </w:p>
              </w:tc>
            </w:tr>
            <w:tr>
              <w:tc>
                <w:tcPr>
                  <w:tcW w:type="dxa" w:w="551"/>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5047"/>
                  <w:tcBorders>
                    <w:top w:val="none" w:color="000000" w:sz="4"/>
                    <w:left w:val="single" w:color="000000" w:sz="4"/>
                    <w:bottom w:val="single" w:color="000000" w:sz="4"/>
                    <w:right w:val="single" w:color="000000" w:sz="4"/>
                  </w:tcBorders>
                  <w:vAlign w:val="top"/>
                </w:tcPr>
                <w:p>
                  <w:pPr>
                    <w:ind w:firstLine="480"/>
                  </w:pPr>
                  <w:r>
                    <w:rPr>
                      <w:sz w:val="24"/>
                    </w:rPr>
                    <w:t>考试时，考生可以根据需要任意选择答题顺序（非线性答题顺序）；能用不同的颜色或符号区别已答和未答的题目编号，实时显示答题进度；在答题时间未到或考生交卷之前，支持重新作答，重新作答时清除相关作答记录；支持操作题素材重置为原始素材，进行重做本题。按统一设置的时间间隔自动保存考生答卷并上传至监考机。当接收到监考机发出的考试结束指令时（考试界面剩余时间为零），系统自动收卷。</w:t>
                  </w:r>
                </w:p>
              </w:tc>
            </w:tr>
            <w:tr>
              <w:tc>
                <w:tcPr>
                  <w:tcW w:type="dxa" w:w="551"/>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5047"/>
                  <w:tcBorders>
                    <w:top w:val="none" w:color="000000" w:sz="4"/>
                    <w:left w:val="single" w:color="000000" w:sz="4"/>
                    <w:bottom w:val="single" w:color="000000" w:sz="4"/>
                    <w:right w:val="single" w:color="000000" w:sz="4"/>
                  </w:tcBorders>
                  <w:vAlign w:val="top"/>
                </w:tcPr>
                <w:p>
                  <w:pPr>
                    <w:ind w:firstLine="480"/>
                  </w:pPr>
                  <w:r>
                    <w:rPr>
                      <w:sz w:val="24"/>
                    </w:rPr>
                    <w:t>异常情况处理。支持异常情况下，在本机或异机继续以原卷原题原进度考试，考中到异机继续考试时，单次输入密码后可立即进行考试。</w:t>
                  </w:r>
                </w:p>
              </w:tc>
            </w:tr>
            <w:tr>
              <w:tc>
                <w:tcPr>
                  <w:tcW w:type="dxa" w:w="551"/>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5047"/>
                  <w:tcBorders>
                    <w:top w:val="none" w:color="000000" w:sz="4"/>
                    <w:left w:val="single" w:color="000000" w:sz="4"/>
                    <w:bottom w:val="single" w:color="000000" w:sz="4"/>
                    <w:right w:val="single" w:color="000000" w:sz="4"/>
                  </w:tcBorders>
                  <w:vAlign w:val="top"/>
                </w:tcPr>
                <w:p>
                  <w:pPr>
                    <w:ind w:firstLine="480"/>
                  </w:pPr>
                  <w:r>
                    <w:rPr>
                      <w:sz w:val="24"/>
                    </w:rPr>
                    <w:t>考试过程提示指引完备。如：</w:t>
                  </w:r>
                  <w:r>
                    <w:rPr>
                      <w:sz w:val="24"/>
                    </w:rPr>
                    <w:t>“正在下载试卷，请等待！”、考试时长倒计时提示、提前交卷提醒确认、“正在上传答卷，请稍候！”、“上传答卷完成，考试结束，请离开考场！”、“数据有误，等待监考员确认后方可离场。”等。</w:t>
                  </w:r>
                </w:p>
              </w:tc>
            </w:tr>
            <w:tr>
              <w:tc>
                <w:tcPr>
                  <w:tcW w:type="dxa" w:w="551"/>
                  <w:tcBorders>
                    <w:top w:val="none" w:color="000000" w:sz="4"/>
                    <w:left w:val="single" w:color="000000" w:sz="4"/>
                    <w:bottom w:val="single" w:color="000000" w:sz="4"/>
                    <w:right w:val="single" w:color="000000" w:sz="4"/>
                  </w:tcBorders>
                  <w:vAlign w:val="top"/>
                </w:tcPr>
                <w:p>
                  <w:pPr>
                    <w:jc w:val="center"/>
                  </w:pPr>
                  <w:r>
                    <w:rPr>
                      <w:color w:val="000000"/>
                      <w:sz w:val="24"/>
                    </w:rPr>
                    <w:t>6</w:t>
                  </w:r>
                </w:p>
              </w:tc>
              <w:tc>
                <w:tcPr>
                  <w:tcW w:type="dxa" w:w="5047"/>
                  <w:tcBorders>
                    <w:top w:val="none" w:color="000000" w:sz="4"/>
                    <w:left w:val="single" w:color="000000" w:sz="4"/>
                    <w:bottom w:val="single" w:color="000000" w:sz="4"/>
                    <w:right w:val="single" w:color="000000" w:sz="4"/>
                  </w:tcBorders>
                  <w:vAlign w:val="top"/>
                </w:tcPr>
                <w:p>
                  <w:pPr>
                    <w:ind w:firstLine="480"/>
                  </w:pPr>
                  <w:r>
                    <w:rPr>
                      <w:sz w:val="24"/>
                    </w:rPr>
                    <w:t>具有完善的防作弊措施。考生作答系统具有试题（含选项）乱序、同一账号禁止多人同时登录、作答相关窗口置顶且不允许切出、考中屏蔽快捷键操作、防截屏、防拍屏追溯（背景嵌入不可视水印）、防考试期间访问互联网和其他考试机、答题轨迹跟踪分析等多种防作弊措施。</w:t>
                  </w:r>
                </w:p>
              </w:tc>
            </w:tr>
            <w:tr>
              <w:tc>
                <w:tcPr>
                  <w:tcW w:type="dxa" w:w="551"/>
                  <w:tcBorders>
                    <w:top w:val="none" w:color="000000" w:sz="4"/>
                    <w:left w:val="single" w:color="000000" w:sz="4"/>
                    <w:bottom w:val="single" w:color="000000" w:sz="4"/>
                    <w:right w:val="single" w:color="000000" w:sz="4"/>
                  </w:tcBorders>
                  <w:vAlign w:val="top"/>
                </w:tcPr>
                <w:p>
                  <w:pPr>
                    <w:jc w:val="center"/>
                  </w:pPr>
                  <w:r>
                    <w:rPr>
                      <w:color w:val="000000"/>
                      <w:sz w:val="24"/>
                    </w:rPr>
                    <w:t>7</w:t>
                  </w:r>
                </w:p>
              </w:tc>
              <w:tc>
                <w:tcPr>
                  <w:tcW w:type="dxa" w:w="5047"/>
                  <w:tcBorders>
                    <w:top w:val="none" w:color="000000" w:sz="4"/>
                    <w:left w:val="single" w:color="000000" w:sz="4"/>
                    <w:bottom w:val="single" w:color="000000" w:sz="4"/>
                    <w:right w:val="single" w:color="000000" w:sz="4"/>
                  </w:tcBorders>
                  <w:vAlign w:val="top"/>
                </w:tcPr>
                <w:p>
                  <w:pPr>
                    <w:ind w:firstLine="480"/>
                  </w:pPr>
                  <w:r>
                    <w:rPr>
                      <w:sz w:val="24"/>
                    </w:rPr>
                    <w:t>日志管理。自动记录考试机运行日志和操作日志（参考考务管理系统），记录考生的关键操作时间点，如登录、打开题目号、重做题目号、主动上传、交卷等，每场次考试结束时，自动打包日志至作答包上传本考场监考机。</w:t>
                  </w:r>
                </w:p>
              </w:tc>
            </w:tr>
            <w:tr>
              <w:tc>
                <w:tcPr>
                  <w:tcW w:type="dxa" w:w="551"/>
                  <w:tcBorders>
                    <w:top w:val="none" w:color="000000" w:sz="4"/>
                    <w:left w:val="single" w:color="000000" w:sz="4"/>
                    <w:bottom w:val="single" w:color="000000" w:sz="4"/>
                    <w:right w:val="single" w:color="000000" w:sz="4"/>
                  </w:tcBorders>
                  <w:vAlign w:val="top"/>
                </w:tcPr>
                <w:p>
                  <w:pPr>
                    <w:jc w:val="center"/>
                  </w:pPr>
                  <w:r>
                    <w:rPr>
                      <w:color w:val="000000"/>
                      <w:sz w:val="24"/>
                    </w:rPr>
                    <w:t>8</w:t>
                  </w:r>
                </w:p>
              </w:tc>
              <w:tc>
                <w:tcPr>
                  <w:tcW w:type="dxa" w:w="5047"/>
                  <w:tcBorders>
                    <w:top w:val="none" w:color="000000" w:sz="4"/>
                    <w:left w:val="single" w:color="000000" w:sz="4"/>
                    <w:bottom w:val="single" w:color="000000" w:sz="4"/>
                    <w:right w:val="single" w:color="000000" w:sz="4"/>
                  </w:tcBorders>
                  <w:vAlign w:val="top"/>
                </w:tcPr>
                <w:p>
                  <w:pPr>
                    <w:ind w:firstLine="480"/>
                  </w:pPr>
                  <w:r>
                    <w:rPr>
                      <w:sz w:val="24"/>
                    </w:rPr>
                    <w:t>显示自适应。能检测考试机显示器分辨率，自动计算适配常见的屏幕长宽比（</w:t>
                  </w:r>
                  <w:r>
                    <w:rPr>
                      <w:sz w:val="24"/>
                    </w:rPr>
                    <w:t>5:4、4:3、16:9、16:10等）及分辨率；软件启动后窗口最大化，界面布局自适应不同分辨率显示器。</w:t>
                  </w:r>
                </w:p>
              </w:tc>
            </w:tr>
          </w:tbl>
          <w:p>
            <w:pPr>
              <w:ind w:firstLine="482"/>
            </w:pPr>
            <w:r>
              <w:rPr>
                <w:b/>
                <w:color w:val="000000"/>
                <w:sz w:val="24"/>
              </w:rPr>
              <w:t>（</w:t>
            </w:r>
            <w:r>
              <w:rPr>
                <w:b/>
                <w:color w:val="000000"/>
                <w:sz w:val="24"/>
              </w:rPr>
              <w:t>6）阅卷系统</w:t>
            </w:r>
          </w:p>
          <w:p>
            <w:pPr>
              <w:ind w:firstLine="480"/>
            </w:pPr>
            <w:r>
              <w:rPr>
                <w:sz w:val="24"/>
              </w:rPr>
              <w:t>阅卷系统能支持各科目的客观题（选择题、判断题、填空题等）自动评分、也能支持信息技术科目的计算机操作题在</w:t>
            </w:r>
            <w:r>
              <w:rPr>
                <w:sz w:val="24"/>
              </w:rPr>
              <w:t>Windows真实应用软件环境下自动评分，操作题自动评分支持分步判分、权重判分和范围值判分等多种判分手段，支持操作题判分中多项条件的与或非逻辑组合表达，同时支持若干个分布判分点组成联合判分。评分结束前须进行完整性、一致性检查（是否有漏评漏记），检查每一个给分点都有分值，对每个分数进行合法性检验，校验合成科目计算机辅助考试总分。评分完成后，有详细试题评析记录可供事后查看。</w:t>
            </w:r>
          </w:p>
          <w:p>
            <w:pPr>
              <w:ind w:firstLine="480"/>
            </w:pPr>
            <w:r>
              <w:rPr>
                <w:color w:val="000000"/>
                <w:sz w:val="24"/>
              </w:rPr>
              <w:t>主观题能提供人工评分平台，支持单评或多评。</w:t>
            </w:r>
          </w:p>
          <w:p>
            <w:pPr>
              <w:ind w:firstLine="482"/>
            </w:pPr>
            <w:r>
              <w:rPr>
                <w:b/>
                <w:color w:val="000000"/>
                <w:sz w:val="24"/>
              </w:rPr>
              <w:t>（</w:t>
            </w:r>
            <w:r>
              <w:rPr>
                <w:b/>
                <w:color w:val="000000"/>
                <w:sz w:val="24"/>
              </w:rPr>
              <w:t>7）同步备份系统</w:t>
            </w:r>
          </w:p>
          <w:p>
            <w:r>
              <w:rPr>
                <w:color w:val="000000"/>
                <w:sz w:val="24"/>
              </w:rPr>
              <w:t>同步备份系统部署在各考场，同步备份监考机产生的考试数据、考场数据，以及由监考机监控的考试机所产生的作答数据。</w:t>
            </w:r>
          </w:p>
          <w:p>
            <w:r>
              <w:rPr>
                <w:b/>
                <w:color w:val="000000"/>
                <w:sz w:val="24"/>
              </w:rPr>
              <w:t>（二）题库及试题相关</w:t>
            </w:r>
          </w:p>
          <w:p>
            <w:pPr>
              <w:ind w:firstLine="482"/>
            </w:pPr>
            <w:r>
              <w:rPr>
                <w:b/>
                <w:color w:val="000000"/>
                <w:sz w:val="24"/>
              </w:rPr>
              <w:t>1.试题入库及试卷制作</w:t>
            </w:r>
          </w:p>
          <w:p>
            <w:r>
              <w:rPr>
                <w:color w:val="000000"/>
                <w:sz w:val="24"/>
              </w:rPr>
              <w:t>2022年佛山市普通高中、初中学业水平考试计算机辅助考试所涉及的命题征题、审题、入库均由佛山市教育局负责。服务商配合佛山市教育局按照“佛山市初中音乐、美术、信息技术、体育与健康科目考试实施方案”和“普通高中音乐、美术、信息技术、通用技术科目学业水平考试实施方案”进行试题入库和试卷制作工作。服务商提供不少于2名业务熟练的试题电子化技术支持人员，及1名题库管理系统开发维护人员，支持上述工作，并签订保密协议。</w:t>
            </w:r>
          </w:p>
          <w:p>
            <w:pPr>
              <w:ind w:firstLine="482"/>
            </w:pPr>
            <w:r>
              <w:rPr>
                <w:b/>
                <w:color w:val="000000"/>
                <w:sz w:val="24"/>
              </w:rPr>
              <w:t>2.试卷发放与数据处理要求</w:t>
            </w:r>
          </w:p>
          <w:p>
            <w:r>
              <w:rPr>
                <w:color w:val="000000"/>
                <w:sz w:val="24"/>
              </w:rPr>
              <w:t>（</w:t>
            </w:r>
            <w:r>
              <w:rPr>
                <w:color w:val="000000"/>
                <w:sz w:val="24"/>
              </w:rPr>
              <w:t>1）在考前规定时间内、在指定的地点、使用指定的方式、将试卷包从指定的系统直接发送各考点和考场，并采取必要的加密技术确保试卷包不被提前打开或被破解，能够实现试卷包分割下发。</w:t>
            </w:r>
          </w:p>
          <w:p>
            <w:r>
              <w:rPr>
                <w:color w:val="000000"/>
                <w:sz w:val="24"/>
              </w:rPr>
              <w:t>（</w:t>
            </w:r>
            <w:r>
              <w:rPr>
                <w:color w:val="000000"/>
                <w:sz w:val="24"/>
              </w:rPr>
              <w:t>2）按照佛山市教育局指定的时间、地点和指定的服务器要求，实现系统及数据的实时备份；发生突发事件时，相关系统能够及时切换到备用系统。</w:t>
            </w:r>
          </w:p>
          <w:p>
            <w:r>
              <w:rPr>
                <w:color w:val="000000"/>
                <w:sz w:val="24"/>
              </w:rPr>
              <w:t>（</w:t>
            </w:r>
            <w:r>
              <w:rPr>
                <w:color w:val="000000"/>
                <w:sz w:val="24"/>
              </w:rPr>
              <w:t>3）在考试结束后指定时间，将作答数据进行校验回收上传到佛山市教育局的数据中心。在确保数据完整回收无误后，可按要求销毁考试机数据，并向佛山市教育局提供销毁证明。</w:t>
            </w:r>
          </w:p>
          <w:p>
            <w:r>
              <w:rPr>
                <w:b/>
                <w:color w:val="000000"/>
                <w:sz w:val="24"/>
              </w:rPr>
              <w:t>（三）系统安全</w:t>
            </w:r>
          </w:p>
          <w:p>
            <w:r>
              <w:rPr>
                <w:color w:val="000000"/>
                <w:sz w:val="24"/>
              </w:rPr>
              <w:t xml:space="preserve">   服务商具备考试全过程数据同步备份、数据保密保全、防止黑客攻击、防范信息外泄等技术措施和管理措施，具有相应的考试信息安全及网络安全管理制度。计算机辅助考试系统须具有较高的可靠性、安全性和可用性，整体通过信息系统安全等级保护（网络安全等级保护）三级等保测评</w:t>
            </w:r>
            <w:r>
              <w:rPr>
                <w:b/>
                <w:color w:val="000000"/>
                <w:sz w:val="24"/>
              </w:rPr>
              <w:t>（须有第三方组织测评）</w:t>
            </w:r>
            <w:r>
              <w:rPr>
                <w:color w:val="000000"/>
                <w:sz w:val="24"/>
              </w:rPr>
              <w:t>，使用符合</w:t>
            </w:r>
            <w:r>
              <w:rPr>
                <w:color w:val="000000"/>
                <w:sz w:val="24"/>
              </w:rPr>
              <w:t>信息系统安全等级保护</w:t>
            </w:r>
            <w:r>
              <w:rPr>
                <w:color w:val="000000"/>
                <w:sz w:val="24"/>
              </w:rPr>
              <w:t>国家密码管理要求的密码算法、技术、产品和服务，提供完整的考试数据安全保障机制，保证各项数据的保密、安全，确保考试过程顺利。</w:t>
            </w:r>
            <w:r>
              <w:rPr>
                <w:color w:val="000000"/>
                <w:sz w:val="24"/>
              </w:rPr>
              <w:t>协助甲方取得当地公安部门报备的</w:t>
            </w:r>
            <w:r>
              <w:rPr>
                <w:color w:val="000000"/>
                <w:sz w:val="24"/>
              </w:rPr>
              <w:t>“信息系统安全等级保护备案证明”</w:t>
            </w:r>
            <w:r>
              <w:rPr>
                <w:b/>
                <w:color w:val="000000"/>
                <w:sz w:val="24"/>
              </w:rPr>
              <w:t>（申请等级保护备案</w:t>
            </w:r>
            <w:r>
              <w:rPr>
                <w:b/>
                <w:color w:val="000000"/>
                <w:sz w:val="24"/>
              </w:rPr>
              <w:t>产生的</w:t>
            </w:r>
            <w:r>
              <w:rPr>
                <w:b/>
                <w:color w:val="000000"/>
                <w:sz w:val="24"/>
              </w:rPr>
              <w:t>费用由中标方支出）</w:t>
            </w:r>
            <w:r>
              <w:rPr>
                <w:color w:val="000000"/>
                <w:sz w:val="24"/>
              </w:rPr>
              <w:t>。</w:t>
            </w:r>
          </w:p>
          <w:p>
            <w:pPr>
              <w:ind w:firstLine="480"/>
              <w:jc w:val="left"/>
            </w:pPr>
            <w:r>
              <w:rPr>
                <w:color w:val="000000"/>
                <w:sz w:val="24"/>
              </w:rPr>
              <w:t>机考系统应采用安全技术措施和管理手段阻止任何非法访问和入侵。严格遵照《</w:t>
            </w:r>
            <w:r>
              <w:rPr>
                <w:color w:val="000000"/>
                <w:sz w:val="24"/>
              </w:rPr>
              <w:t>GB/T 22239-2019 信息安全技术 网络安全等级保护基本要求》第三级标准进行相应设计、开发和部署等工作，保证机考系统各安全指标项达到等保三级标准。遵照《GB/T 2223》第三级安全要求“8.1.4 安全计算环境”进行代码设计，包括身份鉴别、访问控制、安全审计、入侵防范、恶意代码防范、可信验证、数据完整性、数据保密性、数据备份恢复、剩余信息保护、个人信息保护等方面的安全规则。系统须具有防范各种网络攻击，满足数据安全、随时随地通过账号安全登陆等安全的防护能力；并防范网络攻克、信息被盗取、泄露、篡改、破坏以及网络瘫痪等事故功能。系统应具备访问权限的识别和控制功能；系统应</w:t>
            </w:r>
            <w:r>
              <w:rPr>
                <w:sz w:val="24"/>
              </w:rPr>
              <w:t>服务商提供</w:t>
            </w:r>
            <w:r>
              <w:rPr>
                <w:color w:val="000000"/>
                <w:sz w:val="24"/>
              </w:rPr>
              <w:t>操作日志记录功能，以便及时掌握系统</w:t>
            </w:r>
            <w:r>
              <w:rPr>
                <w:sz w:val="24"/>
              </w:rPr>
              <w:t>安全</w:t>
            </w:r>
            <w:r>
              <w:rPr>
                <w:color w:val="000000"/>
                <w:sz w:val="24"/>
              </w:rPr>
              <w:t>状态；数据库应支持多级安全控制；系统用户账号管理、密码管理、数据访问权限和功能操作权限管理必须满足等保三级要求。系统需具有较强的容灾恢复能力，同时具有实时热备份、数据备份与恢复等手段，保证系统在突发情况下的恢复和使用。</w:t>
            </w:r>
          </w:p>
          <w:p>
            <w:pPr>
              <w:ind w:firstLine="480"/>
              <w:jc w:val="left"/>
            </w:pPr>
            <w:r>
              <w:rPr>
                <w:color w:val="000000"/>
                <w:sz w:val="24"/>
              </w:rPr>
              <w:t>投标文件须提供安全</w:t>
            </w:r>
            <w:r>
              <w:rPr>
                <w:sz w:val="24"/>
              </w:rPr>
              <w:t>可靠、简易可行的计算机辅助考试系统全流程的密码技术应用方案。特别是在数据安全存储与传输、业务资源授权使用（访问控制）、防伪、防篡改、防抵赖、取证溯源等方面的应用</w:t>
            </w:r>
            <w:r>
              <w:rPr>
                <w:color w:val="000000"/>
                <w:sz w:val="24"/>
              </w:rPr>
              <w:t>。机考系统试卷与考试数据须加密保存与传输，题库管理系统、考务管理系统、监考管理系统、考生作答系统的数据加解密结果要能一致互认且能区分用户；应具备试卷加密碎片化，分渠道传输试卷包、密钥等内容的功能；采取有效的数据切片、压缩技术，降低对传输带宽的要求；采用智能化标签等多种信息化技术，保证试卷数据的安全；不允许考点与考生查看、导出试题和答题。用户登录密码、关键数据（数据库连接参数、作答、成绩等）采用安全的加密存储技术，防止数据被篡改。系统中的安全网络传输功能应高度集成到系统中，不需要用户使用专门的网络软件进行操作。</w:t>
            </w:r>
          </w:p>
          <w:p>
            <w:r>
              <w:rPr>
                <w:b/>
                <w:color w:val="000000"/>
                <w:sz w:val="24"/>
              </w:rPr>
              <w:t>（四）系统性能</w:t>
            </w:r>
          </w:p>
          <w:p>
            <w:pPr>
              <w:ind w:firstLine="482"/>
            </w:pPr>
            <w:r>
              <w:rPr>
                <w:b/>
                <w:color w:val="000000"/>
                <w:sz w:val="24"/>
              </w:rPr>
              <w:t>1.系统性能</w:t>
            </w:r>
          </w:p>
          <w:p>
            <w:r>
              <w:rPr>
                <w:color w:val="000000"/>
                <w:sz w:val="24"/>
              </w:rPr>
              <w:t>在网络稳定和带宽满足的情况下，考务管理系统支持不少于</w:t>
            </w:r>
            <w:r>
              <w:rPr>
                <w:color w:val="000000"/>
                <w:sz w:val="24"/>
              </w:rPr>
              <w:t>3000个用户的同时在线服务，支持不少于300个监考管理系统并发、300个B/S用户并发，B/S的非统计的查询与交互类业务平均响应时间不超过1秒。每个监考管理系统支持管理不少于100个考生作答系统，系统收发卷时间应在2分钟内完成。整套计算机辅助考试系统各设备间的最大时间差不超过10秒。</w:t>
            </w:r>
          </w:p>
          <w:p>
            <w:pPr>
              <w:ind w:firstLine="482"/>
            </w:pPr>
            <w:r>
              <w:rPr>
                <w:b/>
                <w:color w:val="000000"/>
                <w:sz w:val="24"/>
              </w:rPr>
              <w:t>2.兼容性</w:t>
            </w:r>
          </w:p>
          <w:p>
            <w:r>
              <w:rPr>
                <w:color w:val="000000"/>
                <w:sz w:val="24"/>
              </w:rPr>
              <w:t>完全支持</w:t>
            </w:r>
            <w:r>
              <w:rPr>
                <w:color w:val="000000"/>
                <w:sz w:val="24"/>
              </w:rPr>
              <w:t>Unicode、GBK18030等常用字符集。</w:t>
            </w:r>
          </w:p>
          <w:p>
            <w:r>
              <w:rPr>
                <w:color w:val="000000"/>
                <w:sz w:val="24"/>
              </w:rPr>
              <w:t>考务管理系统和题库管理系统均支持在</w:t>
            </w:r>
            <w:r>
              <w:rPr>
                <w:color w:val="000000"/>
                <w:sz w:val="24"/>
              </w:rPr>
              <w:t>X86架构虚拟服务器安装和稳定运行。</w:t>
            </w:r>
          </w:p>
          <w:p>
            <w:r>
              <w:rPr>
                <w:color w:val="000000"/>
                <w:sz w:val="24"/>
              </w:rPr>
              <w:t>考务管理系统</w:t>
            </w:r>
            <w:r>
              <w:rPr>
                <w:color w:val="000000"/>
                <w:sz w:val="24"/>
              </w:rPr>
              <w:t>web须符合HTML5规范，用户终端不需要额外安装软件、组件、控件或插件。兼容各类主流浏览器，跨终端和操作系统。至少支持：基于Edge、Chrome、FireFox等主流浏览器的设备。</w:t>
            </w:r>
          </w:p>
          <w:p>
            <w:r>
              <w:rPr>
                <w:color w:val="000000"/>
                <w:sz w:val="24"/>
              </w:rPr>
              <w:t>监考管理系统和考生作答系统须支持中文版</w:t>
            </w:r>
            <w:r>
              <w:rPr>
                <w:color w:val="000000"/>
                <w:sz w:val="24"/>
              </w:rPr>
              <w:t>32位和64位的Win7、Win 10、Windows Server 2008R2以上；兼容匹配常见的教学应用环境，如学校机房采用云桌面、瘦客户端方案等常见情况。</w:t>
            </w:r>
          </w:p>
          <w:p>
            <w:pPr>
              <w:ind w:firstLine="482"/>
            </w:pPr>
            <w:r>
              <w:rPr>
                <w:b/>
                <w:color w:val="000000"/>
                <w:sz w:val="24"/>
              </w:rPr>
              <w:t>3.准确性</w:t>
            </w:r>
          </w:p>
          <w:p>
            <w:r>
              <w:rPr>
                <w:color w:val="000000"/>
                <w:sz w:val="24"/>
              </w:rPr>
              <w:t>所有录入（含导入）须校验完整性、合规性和关联一致性。技术服务人员要加强对各种数据的核查，发现错误及时更正，尽量从数据发生点更改数据，避免从数据库更改数据。</w:t>
            </w:r>
          </w:p>
          <w:p>
            <w:r>
              <w:rPr>
                <w:color w:val="000000"/>
                <w:sz w:val="24"/>
              </w:rPr>
              <w:t>所有数据导入和交换要安全、完整、容错、去冗余，不出现重复数据，该更新或覆盖的要使用新数据，不该更新或覆盖的不能使用脏数据，不能判定准确性的数据要进行数据筛查和数据确认。</w:t>
            </w:r>
          </w:p>
          <w:p>
            <w:pPr>
              <w:ind w:firstLine="482"/>
            </w:pPr>
            <w:r>
              <w:rPr>
                <w:b/>
                <w:color w:val="000000"/>
                <w:sz w:val="24"/>
              </w:rPr>
              <w:t>4.健壮性和可扩展性</w:t>
            </w:r>
          </w:p>
          <w:p>
            <w:r>
              <w:rPr>
                <w:color w:val="000000"/>
                <w:sz w:val="24"/>
              </w:rPr>
              <w:t>在保证系统快速响应的同时，系统各项功能健壮、稳定、可靠。不能因为单点故障而影响系统整体运行；考生作答过程中不能因为监考机、网络故障而受到干扰。</w:t>
            </w:r>
          </w:p>
          <w:p>
            <w:r>
              <w:rPr>
                <w:color w:val="000000"/>
                <w:sz w:val="24"/>
              </w:rPr>
              <w:t>系统</w:t>
            </w:r>
            <w:r>
              <w:rPr>
                <w:color w:val="000000"/>
                <w:sz w:val="24"/>
              </w:rPr>
              <w:t>发生故障的可能性降到最低。系统</w:t>
            </w:r>
            <w:r>
              <w:rPr>
                <w:color w:val="000000"/>
                <w:sz w:val="24"/>
              </w:rPr>
              <w:t>应具有较强的可维护性和扩展性。采用标准化设计，严格遵循相关技术的国际、国内标准，能方便地进行系统流程和功能的调整，以适应系统需求的变化；系统能够方便地进行管理与维护，软硬件的升级不影响正常运作，系统功能、结构以及数据库可方便地扩展。</w:t>
            </w:r>
            <w:r>
              <w:rPr>
                <w:color w:val="000000"/>
                <w:sz w:val="24"/>
              </w:rPr>
              <w:t>基于通用应用开发平台作为项目的支撑，通过组件化、工具化、配置化的方式实现系统功能的快速搭建，能够快速响应用户的需求，便于实现数据的共享、维护和管理。通过采用灵活的技术构架，使得系统的应用功能、部署方式能够满足不断扩展的应用需求。随着功能及用户的增加，能够通过系统的层次化设计和设备的模块化设计等手段，保证系统具有良好的扩展性。同时，系统的升级要充分考虑与现有其它应用系统的数据接口问题，尽可能保证系统有更长的生命周期。系统应具备自检、故障诊断及故障弱化功能，在出现故障时，应能得到及时、快速的维护及故障管理等。</w:t>
            </w:r>
          </w:p>
          <w:p>
            <w:pPr>
              <w:ind w:firstLine="480"/>
              <w:jc w:val="left"/>
            </w:pPr>
            <w:r>
              <w:rPr>
                <w:color w:val="000000"/>
                <w:sz w:val="24"/>
              </w:rPr>
              <w:t>系统要支持不同组织方式、不同题型、不同考务要求，不能硬编码实现当前的需求，必须通过可配置的方式以满足不断变化的需求。</w:t>
            </w:r>
          </w:p>
          <w:p>
            <w:pPr>
              <w:ind w:firstLine="482"/>
            </w:pPr>
            <w:r>
              <w:rPr>
                <w:b/>
                <w:color w:val="000000"/>
                <w:sz w:val="24"/>
              </w:rPr>
              <w:t>5.简洁易用</w:t>
            </w:r>
          </w:p>
          <w:p>
            <w:r>
              <w:rPr>
                <w:color w:val="000000"/>
                <w:sz w:val="24"/>
              </w:rPr>
              <w:t>计算机辅助考试各系统用户界面须简洁、视觉层次清晰、元素外观一致、交互行为一致、容错机制好、提供反馈、鼓励用户、语言有亲和力。系统在设计与实施中要</w:t>
            </w:r>
            <w:r>
              <w:rPr>
                <w:color w:val="000000"/>
                <w:sz w:val="24"/>
              </w:rPr>
              <w:t>“以人为本”，做到系统安装设置、使用操作、开发维护、日常管理等工作简单易用，符合开发维护人员和各类使用者的操作习惯，减轻其日常工作量，并能提供多种友好的用户界面及在线帮助，由此降低系统整体维护成本。</w:t>
            </w:r>
            <w:r>
              <w:rPr>
                <w:color w:val="000000"/>
                <w:sz w:val="24"/>
              </w:rPr>
              <w:t>采用业界流行的操作流程和页面规范，坚持简洁风格，保持总体界面一致，菜单和按钮等提示信息一致，界面功能排列合理，方便用户快速浏览和查找需要的内容。采用流程化的设计思想，引导用户操作，并提供通俗易懂的各类提示。要使用方便，上手容易，符合通用计算机界面风格和使用习惯，不需要培训或进行简单培训就能够使用。用户界面元素的布局、文字、位置、颜色、尺寸等要以清晰、准确、简便、美观、业界通用为原则；</w:t>
            </w:r>
            <w:r>
              <w:rPr>
                <w:color w:val="000000"/>
                <w:sz w:val="24"/>
              </w:rPr>
              <w:t>界面主题能定制、可变更，而不需要修改代码；界面语言国际化；</w:t>
            </w:r>
            <w:r>
              <w:rPr>
                <w:color w:val="000000"/>
                <w:sz w:val="24"/>
              </w:rPr>
              <w:t>多采用向导模式；对不可逆或有严重后果的操作，要多次、有效提示用户；若操作失败，给出失败原因或处理建议；凡是较长时间操作，如传输、压缩等，都应有进度条提示，且不能让系统失去响应。</w:t>
            </w:r>
          </w:p>
          <w:p>
            <w:pPr>
              <w:ind w:firstLine="482"/>
            </w:pPr>
            <w:r>
              <w:rPr>
                <w:b/>
                <w:color w:val="000000"/>
                <w:sz w:val="24"/>
              </w:rPr>
              <w:t>6.标准化和开放性</w:t>
            </w:r>
          </w:p>
          <w:p>
            <w:r>
              <w:rPr>
                <w:color w:val="000000"/>
                <w:sz w:val="24"/>
              </w:rPr>
              <w:t>系统采用的软件平台、数据标准、开发技术应符合公认的工业标准，符合国家、地方和行业的有关标准与规范，系统的分析、设计、实现和测试要严格按照统一的标准规范以及通用的软件工程标准和规范，以确保系统符合国际上各种开放标准，采用基于正确公开标准的部件和技术，优先使用业界普遍采用的主流技术和方法，以确保最大限度的协作能力以及与第三方系统与部件集成的简便性。系统的功能调用和数据交换接口要遵循标准化原则。</w:t>
            </w:r>
            <w:r>
              <w:rPr>
                <w:color w:val="000000"/>
                <w:sz w:val="24"/>
              </w:rPr>
              <w:t>系统应具备良好的共享机制，能有效实现跨部门的数据异步交换、信息实时共享。采用标准的数据描述语言以及标准的通信协议，适应以后的数据交换标准以及系统间互连的标准协议。系统应提供弹性架构，提供标准化的二次开发接口，能够适应业务流程的变化；系统应保证接口封装良好，能够为第三方开发商提供系统集成接口。</w:t>
            </w:r>
          </w:p>
          <w:p>
            <w:r>
              <w:rPr>
                <w:b/>
                <w:color w:val="000000"/>
                <w:sz w:val="24"/>
              </w:rPr>
              <w:t>（五）技术培训</w:t>
            </w:r>
          </w:p>
          <w:p>
            <w:r>
              <w:rPr>
                <w:color w:val="000000"/>
                <w:sz w:val="24"/>
              </w:rPr>
              <w:t>服务商协助佛山市教育局部署和开展各考点的考试考务工作，组织各区和考点相关考务人员进行培训。</w:t>
            </w:r>
          </w:p>
          <w:p>
            <w:pPr>
              <w:ind w:firstLine="482"/>
            </w:pPr>
            <w:r>
              <w:rPr>
                <w:b/>
                <w:color w:val="000000"/>
                <w:sz w:val="24"/>
              </w:rPr>
              <w:t>1.编制培训材料</w:t>
            </w:r>
          </w:p>
          <w:p>
            <w:r>
              <w:rPr>
                <w:color w:val="000000"/>
                <w:sz w:val="24"/>
              </w:rPr>
              <w:t>（</w:t>
            </w:r>
            <w:r>
              <w:rPr>
                <w:color w:val="000000"/>
                <w:sz w:val="24"/>
              </w:rPr>
              <w:t>1）面向考生的计算机辅助考试指引。</w:t>
            </w:r>
          </w:p>
          <w:p>
            <w:r>
              <w:rPr>
                <w:color w:val="000000"/>
                <w:sz w:val="24"/>
              </w:rPr>
              <w:t>（</w:t>
            </w:r>
            <w:r>
              <w:rPr>
                <w:color w:val="000000"/>
                <w:sz w:val="24"/>
              </w:rPr>
              <w:t>2）面向监考员的计算机辅助考试监考培训资料。</w:t>
            </w:r>
          </w:p>
          <w:p>
            <w:r>
              <w:rPr>
                <w:color w:val="000000"/>
                <w:sz w:val="24"/>
              </w:rPr>
              <w:t>编写培训材料要符合科普性、针对性、实用性、通用性、可操作性原则，适合于计算机辅助考试全部科目，不断提升培训课程开发能力和丰富完善培训材料。培训资料的编写要图文并茂、简单易懂，相应的操作结合实例。</w:t>
            </w:r>
          </w:p>
          <w:p>
            <w:pPr>
              <w:ind w:firstLine="482"/>
            </w:pPr>
            <w:r>
              <w:rPr>
                <w:b/>
                <w:color w:val="000000"/>
                <w:sz w:val="24"/>
              </w:rPr>
              <w:t>2.监考培训内容和方式</w:t>
            </w:r>
          </w:p>
          <w:p>
            <w:r>
              <w:rPr>
                <w:color w:val="000000"/>
                <w:sz w:val="24"/>
              </w:rPr>
              <w:t>提供面向考点技术人员的应用系统安装配置和应用等方面的培训，使考点技术人员能够熟悉系统的整体结构，熟练使用和配置维护系统，能处理常见问题，能按考务规定独立组织完成考试。</w:t>
            </w:r>
          </w:p>
          <w:p>
            <w:r>
              <w:rPr>
                <w:color w:val="000000"/>
                <w:sz w:val="24"/>
              </w:rPr>
              <w:t>现场集中培训为主，线上培训为辅（分散小规模、应急、答疑）。培训方式应包括技术讲课、操作示范、参观学习和其它必须的业务指导和技术咨询，确保培训人员对系统基本理论、技术特性、操作规范、运行规程、管理维护等方面获得全面了解和掌握。</w:t>
            </w:r>
          </w:p>
          <w:p>
            <w:pPr>
              <w:ind w:firstLine="482"/>
            </w:pPr>
            <w:r>
              <w:rPr>
                <w:b/>
                <w:color w:val="000000"/>
                <w:sz w:val="24"/>
              </w:rPr>
              <w:t>3.有关要求</w:t>
            </w:r>
          </w:p>
          <w:p>
            <w:r>
              <w:rPr>
                <w:color w:val="000000"/>
                <w:sz w:val="24"/>
              </w:rPr>
              <w:t>（</w:t>
            </w:r>
            <w:r>
              <w:rPr>
                <w:color w:val="000000"/>
                <w:sz w:val="24"/>
              </w:rPr>
              <w:t>1）做到有组织、有计划地进行培训，在培训开始前15天内将培训计划和资料提交佛山市教育局审核确认。培训计划要定时间、定地点、定内容、定进度、定要求、有练习、有考核。</w:t>
            </w:r>
          </w:p>
          <w:p>
            <w:r>
              <w:rPr>
                <w:color w:val="000000"/>
                <w:sz w:val="24"/>
              </w:rPr>
              <w:t>（</w:t>
            </w:r>
            <w:r>
              <w:rPr>
                <w:color w:val="000000"/>
                <w:sz w:val="24"/>
              </w:rPr>
              <w:t>2）培训要以问题为导向，与考务工作紧密结合。要认真进行培训意见收集和效果评估，及时分析原因和总结改进。</w:t>
            </w:r>
          </w:p>
          <w:p>
            <w:r>
              <w:rPr>
                <w:color w:val="000000"/>
                <w:sz w:val="24"/>
              </w:rPr>
              <w:t>（</w:t>
            </w:r>
            <w:r>
              <w:rPr>
                <w:color w:val="000000"/>
                <w:sz w:val="24"/>
              </w:rPr>
              <w:t>3）由服务商派出具有相应专业资格和实际工作、教育经验的教师和相应的辅导人员进行培训，培训所使用的语言必须是中文，否则服务商必须提供相应的翻译。</w:t>
            </w:r>
          </w:p>
          <w:p>
            <w:r>
              <w:rPr>
                <w:color w:val="000000"/>
                <w:sz w:val="24"/>
              </w:rPr>
              <w:t>（</w:t>
            </w:r>
            <w:r>
              <w:rPr>
                <w:color w:val="000000"/>
                <w:sz w:val="24"/>
              </w:rPr>
              <w:t>4）服务商为所有被培训人员提供培训用文字资料和讲义等相关用品。所有的资料必须是中文书写。培训费用包含在投资预算中。</w:t>
            </w:r>
          </w:p>
          <w:p>
            <w:r>
              <w:rPr>
                <w:b/>
                <w:color w:val="000000"/>
                <w:sz w:val="24"/>
              </w:rPr>
              <w:t>（六）全程技术服务</w:t>
            </w:r>
          </w:p>
          <w:p>
            <w:pPr>
              <w:ind w:firstLine="482"/>
            </w:pPr>
            <w:r>
              <w:rPr>
                <w:b/>
                <w:color w:val="000000"/>
                <w:sz w:val="24"/>
              </w:rPr>
              <w:t>1.实施服务</w:t>
            </w:r>
          </w:p>
          <w:p>
            <w:pPr>
              <w:ind w:firstLine="480"/>
            </w:pPr>
            <w:r>
              <w:rPr>
                <w:color w:val="000000"/>
                <w:sz w:val="24"/>
              </w:rPr>
              <w:t>服务商配合佛山市教育局完成每次考试全流程的组织实施工作，提供编排考场、试题转化、考试环境安装部署、环境测试、模拟考试、考前检查和封场、试卷包及密钥包传输、考试实施现场服务、考试数据上传与回收、评分及成绩发布、成绩分析等全过程技术服务。每场考试结束后，服务商应在</w:t>
            </w:r>
            <w:r>
              <w:rPr>
                <w:color w:val="000000"/>
                <w:sz w:val="24"/>
              </w:rPr>
              <w:t>2小时内检测数据是否完整无误，并协助佛山市教育局跟进未上传考试数据或考试数据有问题的情况，确保考试数据完整。</w:t>
            </w:r>
          </w:p>
          <w:p>
            <w:pPr>
              <w:ind w:firstLine="482"/>
            </w:pPr>
            <w:r>
              <w:rPr>
                <w:b/>
                <w:color w:val="000000"/>
                <w:sz w:val="24"/>
              </w:rPr>
              <w:t>2.技术服务团队人员配置要求</w:t>
            </w:r>
          </w:p>
          <w:p>
            <w:pPr>
              <w:ind w:firstLine="480"/>
            </w:pPr>
            <w:r>
              <w:rPr>
                <w:color w:val="000000"/>
                <w:sz w:val="24"/>
              </w:rPr>
              <w:t>（</w:t>
            </w:r>
            <w:r>
              <w:rPr>
                <w:color w:val="000000"/>
                <w:sz w:val="24"/>
              </w:rPr>
              <w:t>1）服务商就当具有以下充足、有效的项目实施资源：</w:t>
            </w:r>
          </w:p>
          <w:p>
            <w:pPr>
              <w:ind w:firstLine="480"/>
            </w:pPr>
            <w:r>
              <w:rPr>
                <w:color w:val="000000"/>
                <w:sz w:val="24"/>
              </w:rPr>
              <w:t>（</w:t>
            </w:r>
            <w:r>
              <w:rPr>
                <w:color w:val="000000"/>
                <w:sz w:val="24"/>
              </w:rPr>
              <w:t>2）服务商在技术服务期限内</w:t>
            </w:r>
            <w:r>
              <w:rPr>
                <w:color w:val="000000"/>
                <w:sz w:val="24"/>
              </w:rPr>
              <w:t>须</w:t>
            </w:r>
            <w:r>
              <w:rPr>
                <w:color w:val="000000"/>
                <w:sz w:val="24"/>
              </w:rPr>
              <w:t>实行项目经理负责制，指定专人负责本项目的业务，切实履行技术服务承诺，并接受佛山市教育局的全程监督与指正，在项目实施每个阶段如质、如量、如期的完成任务。</w:t>
            </w:r>
          </w:p>
          <w:p>
            <w:pPr>
              <w:ind w:firstLine="480"/>
            </w:pPr>
            <w:r>
              <w:rPr>
                <w:color w:val="000000"/>
                <w:sz w:val="24"/>
              </w:rPr>
              <w:t>（</w:t>
            </w:r>
            <w:r>
              <w:rPr>
                <w:color w:val="000000"/>
                <w:sz w:val="24"/>
              </w:rPr>
              <w:t>3）在模拟考试和正考期间，服务商应组织足够的技术人力支持全市各区县、考点的考试实施工作，并配备足够的技术负责人指导各技术支持小组的工作。</w:t>
            </w:r>
          </w:p>
          <w:p>
            <w:pPr>
              <w:ind w:firstLine="480"/>
            </w:pPr>
            <w:r>
              <w:rPr>
                <w:color w:val="000000"/>
                <w:sz w:val="24"/>
              </w:rPr>
              <w:t>（</w:t>
            </w:r>
            <w:r>
              <w:rPr>
                <w:color w:val="000000"/>
                <w:sz w:val="24"/>
              </w:rPr>
              <w:t>4）服务商提供现场或远程协助快速解决问题服务，提供技术支持团队方案。常设专门的服务热线电话、服务质量投诉电话、邮件、ＱＱ群、网站等在线技术支持；及时安排专人跟进各个考点的技术咨询服务，并对各种反馈情况进行记录。</w:t>
            </w:r>
          </w:p>
          <w:p>
            <w:pPr>
              <w:ind w:firstLine="480"/>
            </w:pPr>
            <w:r>
              <w:rPr>
                <w:color w:val="000000"/>
                <w:sz w:val="24"/>
              </w:rPr>
              <w:t>（</w:t>
            </w:r>
            <w:r>
              <w:rPr>
                <w:color w:val="000000"/>
                <w:sz w:val="24"/>
              </w:rPr>
              <w:t>5）</w:t>
            </w:r>
            <w:r>
              <w:rPr>
                <w:color w:val="000000"/>
                <w:sz w:val="24"/>
              </w:rPr>
              <w:t>技术人员配备及相应要求。提供专门服务团队成员的详细列表，包括姓名、职责、联系方式、服务事项与区域等。</w:t>
            </w:r>
            <w:r>
              <w:rPr>
                <w:color w:val="000000"/>
                <w:sz w:val="24"/>
              </w:rPr>
              <w:t>在系统部署联调测试、模拟考试、正式考试期间，服务商至少安排</w:t>
            </w:r>
            <w:r>
              <w:rPr>
                <w:color w:val="000000"/>
                <w:sz w:val="24"/>
              </w:rPr>
              <w:t>2名（含本项目总负责人）在</w:t>
            </w:r>
            <w:r>
              <w:rPr>
                <w:b/>
                <w:color w:val="000000"/>
                <w:sz w:val="24"/>
              </w:rPr>
              <w:t>市教育局、每个区至少安排</w:t>
            </w:r>
            <w:r>
              <w:rPr>
                <w:b/>
                <w:color w:val="000000"/>
                <w:sz w:val="24"/>
              </w:rPr>
              <w:t>1名专职</w:t>
            </w:r>
            <w:r>
              <w:rPr>
                <w:color w:val="000000"/>
                <w:sz w:val="24"/>
              </w:rPr>
              <w:t>技术服务人员在佛山市教育局指定地点进行现场技术服务，实行</w:t>
            </w:r>
            <w:r>
              <w:rPr>
                <w:color w:val="000000"/>
                <w:sz w:val="24"/>
              </w:rPr>
              <w:t>7*24小时工作制，安排多名专职技术服务人员在服务商本部提供技术支撑服务；在数据核查阶段，至少安排3名技术服务人员进行全面细致的成绩数据核查、统计分析、撰写服务报告等。非考试时段，</w:t>
            </w:r>
            <w:r>
              <w:rPr>
                <w:color w:val="000000"/>
                <w:sz w:val="24"/>
              </w:rPr>
              <w:t>系统出现问题，收到反馈信息后</w:t>
            </w:r>
            <w:r>
              <w:rPr>
                <w:color w:val="000000"/>
                <w:sz w:val="24"/>
              </w:rPr>
              <w:t>1</w:t>
            </w:r>
            <w:r>
              <w:rPr>
                <w:color w:val="000000"/>
                <w:sz w:val="24"/>
              </w:rPr>
              <w:t>小时</w:t>
            </w:r>
            <w:r>
              <w:rPr>
                <w:color w:val="000000"/>
                <w:sz w:val="24"/>
              </w:rPr>
              <w:t>内安排人员</w:t>
            </w:r>
            <w:r>
              <w:rPr>
                <w:color w:val="000000"/>
                <w:sz w:val="24"/>
              </w:rPr>
              <w:t>在线技术服务。在考试时段，系统出现问题，收到反馈信息后</w:t>
            </w:r>
            <w:r>
              <w:rPr>
                <w:color w:val="000000"/>
                <w:sz w:val="24"/>
              </w:rPr>
              <w:t>10分钟内安排专人专车，赶赴现场。在考试时段，</w:t>
            </w:r>
            <w:r>
              <w:rPr>
                <w:color w:val="000000"/>
                <w:sz w:val="24"/>
              </w:rPr>
              <w:t>立即安排</w:t>
            </w:r>
            <w:r>
              <w:rPr>
                <w:color w:val="000000"/>
                <w:sz w:val="24"/>
              </w:rPr>
              <w:t>驻场</w:t>
            </w:r>
            <w:r>
              <w:rPr>
                <w:color w:val="000000"/>
                <w:sz w:val="24"/>
              </w:rPr>
              <w:t>技术人员解决。</w:t>
            </w:r>
          </w:p>
          <w:p>
            <w:pPr>
              <w:ind w:firstLine="480"/>
            </w:pPr>
            <w:r>
              <w:rPr>
                <w:color w:val="000000"/>
                <w:sz w:val="24"/>
              </w:rPr>
              <w:t>（</w:t>
            </w:r>
            <w:r>
              <w:rPr>
                <w:color w:val="000000"/>
                <w:sz w:val="24"/>
              </w:rPr>
              <w:t>6）技术服务人员资质要求：</w:t>
            </w:r>
            <w:r>
              <w:rPr>
                <w:color w:val="000000"/>
                <w:sz w:val="24"/>
              </w:rPr>
              <w:t>通信或计算机类专业本科或同等学历及以上，</w:t>
            </w:r>
            <w:r>
              <w:rPr>
                <w:color w:val="000000"/>
                <w:sz w:val="24"/>
              </w:rPr>
              <w:t>具有</w:t>
            </w:r>
            <w:r>
              <w:rPr>
                <w:color w:val="000000"/>
                <w:sz w:val="24"/>
              </w:rPr>
              <w:t>2年以上项目服务经验，具备良好的沟通协调能力和问题处理能力，工作认真负责，具有高度的责任心。</w:t>
            </w:r>
          </w:p>
          <w:p>
            <w:pPr>
              <w:ind w:firstLine="480"/>
            </w:pPr>
            <w:r>
              <w:rPr>
                <w:color w:val="000000"/>
                <w:sz w:val="24"/>
              </w:rPr>
              <w:t>（</w:t>
            </w:r>
            <w:r>
              <w:rPr>
                <w:color w:val="000000"/>
                <w:sz w:val="24"/>
              </w:rPr>
              <w:t>7）人员工作稳定：服务商须承诺在项目实施过程中</w:t>
            </w:r>
            <w:r>
              <w:rPr>
                <w:color w:val="000000"/>
                <w:sz w:val="24"/>
              </w:rPr>
              <w:t>必须</w:t>
            </w:r>
            <w:r>
              <w:rPr>
                <w:color w:val="000000"/>
                <w:sz w:val="24"/>
              </w:rPr>
              <w:t>配备足够的项目人员并保证人员稳定，项目团队人员不得随意更换，任何变更应书面征得佛山市教育局的同意。服务商在项目实施过程中出现资源、进度、质量协调控制不力的情况，佛山市教育局有权要求更换相关项目人员，服务商必须予以配合，并确保不影响项目建设的进度和质量。服务商必须无条件接受佛山市教育局的监督检查，并承担人员不足、不到位所导致的相关质量、进度等违约责任。</w:t>
            </w:r>
            <w:r>
              <w:rPr>
                <w:color w:val="000000"/>
                <w:sz w:val="24"/>
              </w:rPr>
              <w:t>投标人须在响应文件中详细列清参与本项目的人员名单、资历及在项目中所负的职责。</w:t>
            </w:r>
            <w:r>
              <w:rPr>
                <w:color w:val="000000"/>
                <w:sz w:val="24"/>
              </w:rPr>
              <w:t>提供在本公司任职的外部证明材料（如加盖政府有关部门印章的打印日期在本项目报价截止日之前六个月以内的《投保单》或《社会保险参保人员证明》，或单位代缴个人所得税税单等）。</w:t>
            </w:r>
          </w:p>
          <w:p>
            <w:pPr>
              <w:ind w:firstLine="482"/>
            </w:pPr>
            <w:r>
              <w:rPr>
                <w:b/>
                <w:color w:val="000000"/>
                <w:sz w:val="24"/>
              </w:rPr>
              <w:t>3.制定详细的技术服务方案</w:t>
            </w:r>
          </w:p>
          <w:p>
            <w:pPr>
              <w:ind w:firstLine="480"/>
            </w:pPr>
            <w:r>
              <w:rPr>
                <w:color w:val="000000"/>
                <w:sz w:val="24"/>
              </w:rPr>
              <w:t>（</w:t>
            </w:r>
            <w:r>
              <w:rPr>
                <w:color w:val="000000"/>
                <w:sz w:val="24"/>
              </w:rPr>
              <w:t>1）技术服务实施方案：服务商提出完整的项目管理、系统功能研发升级、题库、系统部署及运维、培训、项目实施、项目验收、技术支持、保密方案；提供实施投标项目的工作日程表和人员配备方案，明确工作地点、起止时间、进度计划、里程碑、交付成果、人员安排和应急计划（方案）等，项目负责人及主要人员，包括组织结构、项目负责人、组成人员的资历信息、类似项目的经验及分工职责。项目的重难点分析准确，项目任务分解计划安排合理，进度计划详尽，人员和进度安排全面，能列出相应进度人员投入、进度安排表和质量管理措施，建立的相应保证措施得体、可执行性强。技术服务实施过程的描述完整、清晰、可控并符合有关信息技术服务外包标准。</w:t>
            </w:r>
          </w:p>
          <w:p>
            <w:pPr>
              <w:ind w:firstLine="480"/>
            </w:pPr>
            <w:r>
              <w:rPr>
                <w:color w:val="000000"/>
                <w:sz w:val="24"/>
              </w:rPr>
              <w:t>（</w:t>
            </w:r>
            <w:r>
              <w:rPr>
                <w:color w:val="000000"/>
                <w:sz w:val="24"/>
              </w:rPr>
              <w:t>2）标准化考务工作方案。服务商针对本项目提供与计算机辅助考试系统与本项目匹配的合理、完整的考务工作方案至少包括：</w:t>
            </w:r>
          </w:p>
          <w:p>
            <w:pPr>
              <w:ind w:firstLine="480"/>
            </w:pPr>
            <w:r>
              <w:rPr>
                <w:color w:val="000000"/>
                <w:sz w:val="24"/>
              </w:rPr>
              <w:t>①编制标准化考务工作手册。</w:t>
            </w:r>
          </w:p>
          <w:p>
            <w:pPr>
              <w:ind w:firstLine="480"/>
            </w:pPr>
            <w:r>
              <w:rPr>
                <w:color w:val="000000"/>
                <w:sz w:val="24"/>
              </w:rPr>
              <w:t>②考点和考场的最低和推荐的机房主机和网络设备等配置要求、测试、运维、评估和验收管理方案。</w:t>
            </w:r>
          </w:p>
          <w:p>
            <w:pPr>
              <w:ind w:firstLine="480"/>
            </w:pPr>
            <w:r>
              <w:rPr>
                <w:color w:val="000000"/>
                <w:sz w:val="24"/>
              </w:rPr>
              <w:t>③明确市</w:t>
            </w:r>
            <w:r>
              <w:rPr>
                <w:color w:val="000000"/>
                <w:sz w:val="24"/>
              </w:rPr>
              <w:t>招生办</w:t>
            </w:r>
            <w:r>
              <w:rPr>
                <w:color w:val="000000"/>
                <w:sz w:val="24"/>
              </w:rPr>
              <w:t>和区</w:t>
            </w:r>
            <w:r>
              <w:rPr>
                <w:color w:val="000000"/>
                <w:sz w:val="24"/>
              </w:rPr>
              <w:t>招生办</w:t>
            </w:r>
            <w:r>
              <w:rPr>
                <w:color w:val="000000"/>
                <w:sz w:val="24"/>
              </w:rPr>
              <w:t>工作人员、考点主考、监考人员、技术人员等的职责任务，并制定培训和考核工作方案。</w:t>
            </w:r>
          </w:p>
          <w:p>
            <w:pPr>
              <w:ind w:firstLine="480"/>
            </w:pPr>
            <w:r>
              <w:rPr>
                <w:color w:val="000000"/>
                <w:sz w:val="24"/>
              </w:rPr>
              <w:t>（</w:t>
            </w:r>
            <w:r>
              <w:rPr>
                <w:color w:val="000000"/>
                <w:sz w:val="24"/>
              </w:rPr>
              <w:t>3）考务应急处理预案：服务商提供佛山市计算机辅助考试技术服务考务应急处理预案，有效预防、及时控制和妥善处理计算机辅助考试过程中的各类突发事件，确保计算机辅助考试的安全，维护正常考试秩序。服务商应充分预见到考试过程中可能发生的考试组织和技术方面的突发事件，制定详尽而可行的应急预案；能够建立突发事件沟通渠道，按照应急预案和佛山市教育局要求及时报告并有效处理突发情况。</w:t>
            </w:r>
          </w:p>
          <w:p>
            <w:pPr>
              <w:ind w:firstLine="482"/>
            </w:pPr>
            <w:r>
              <w:rPr>
                <w:b/>
                <w:color w:val="000000"/>
                <w:sz w:val="24"/>
              </w:rPr>
              <w:t>4.项目过程管理</w:t>
            </w:r>
          </w:p>
          <w:p>
            <w:pPr>
              <w:ind w:firstLine="480"/>
            </w:pPr>
            <w:r>
              <w:rPr>
                <w:color w:val="000000"/>
                <w:sz w:val="24"/>
              </w:rPr>
              <w:t>（</w:t>
            </w:r>
            <w:r>
              <w:rPr>
                <w:color w:val="000000"/>
                <w:sz w:val="24"/>
              </w:rPr>
              <w:t>1）服务商在项目实施过程中必须分别按周、月提交进度报告，对项目问题及进度延迟原因进行说明，制定合理的解决措施并有效执行。</w:t>
            </w:r>
          </w:p>
          <w:p>
            <w:pPr>
              <w:ind w:firstLine="480"/>
            </w:pPr>
            <w:r>
              <w:rPr>
                <w:color w:val="000000"/>
                <w:sz w:val="24"/>
              </w:rPr>
              <w:t>（</w:t>
            </w:r>
            <w:r>
              <w:rPr>
                <w:color w:val="000000"/>
                <w:sz w:val="24"/>
              </w:rPr>
              <w:t>2）服务商在项目实施过程中应加强问题管理，特别对佛山市教育局提出的问题应在约定的时间内及时解决，并提交书面报告，否则由此导致的进度延迟责任由服务商承担。考点在日常使用过程中提出的需求和建议，服务商要指定专人进行汇总，并会同佛山市教育局进行论证，最终给出技术性意见或建议，具体修改决定由佛山市教育局确定。</w:t>
            </w:r>
          </w:p>
          <w:p>
            <w:pPr>
              <w:ind w:firstLine="480"/>
            </w:pPr>
            <w:r>
              <w:rPr>
                <w:color w:val="000000"/>
                <w:sz w:val="24"/>
              </w:rPr>
              <w:t>（</w:t>
            </w:r>
            <w:r>
              <w:rPr>
                <w:color w:val="000000"/>
                <w:sz w:val="24"/>
              </w:rPr>
              <w:t>3）服务商在每次考试结束后一周内提交服务小结报告，小结经验教训，为下一次考试提出改进完善措施。在全部考试服务结束后两周内提交服务总结报告，全面分析总结经验教训，分类汇总问题，为佛山市教育局提出今后改进完善措施。</w:t>
            </w:r>
          </w:p>
          <w:p>
            <w:r>
              <w:rPr>
                <w:b/>
                <w:color w:val="000000"/>
                <w:sz w:val="24"/>
              </w:rPr>
              <w:t>（八）系统安装部署调试</w:t>
            </w:r>
          </w:p>
          <w:p>
            <w:pPr>
              <w:ind w:firstLine="482"/>
            </w:pPr>
            <w:r>
              <w:rPr>
                <w:b/>
                <w:color w:val="000000"/>
                <w:sz w:val="24"/>
              </w:rPr>
              <w:t>1.系统安装部署。</w:t>
            </w:r>
          </w:p>
          <w:p>
            <w:pPr>
              <w:ind w:firstLine="480"/>
            </w:pPr>
            <w:r>
              <w:rPr>
                <w:color w:val="000000"/>
                <w:sz w:val="24"/>
              </w:rPr>
              <w:t>考前三周，在市、区和考点三级现场安装部署调试有关系统，组织考点、考场进行一次试考工作及考场压力测试，验收各考场软件硬件环境，考务管理系统汇总各考场测试情况。</w:t>
            </w:r>
          </w:p>
          <w:p>
            <w:pPr>
              <w:ind w:firstLine="482"/>
            </w:pPr>
            <w:r>
              <w:rPr>
                <w:b/>
                <w:color w:val="000000"/>
                <w:sz w:val="24"/>
              </w:rPr>
              <w:t>2.考前测试。</w:t>
            </w:r>
          </w:p>
          <w:p>
            <w:r>
              <w:rPr>
                <w:color w:val="000000"/>
                <w:sz w:val="24"/>
              </w:rPr>
              <w:t xml:space="preserve">   每次考前一周内，服务商跟进各个考点考前检测调试情况并提供技术支持，建立台账，向佛山市教育局反馈各考点检测调试进度。在正式考试前一天完成该次考试所有考点的技术巡检，确保每个考点机房和考试环境能满足考试要求，并把全市巡检结果和调试情况总结提交给佛山市教育局</w:t>
            </w:r>
            <w:r>
              <w:rPr/>
              <w:t>。</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1.采购代理机构：本项目是指佛山聚友工程项目管理有限公司，负责整个采购活动的组织，依法负责编制和发布磋商文件，对磋商文件拥有最终的解释权，不以任何身份出任磋商小组成员。</w:t>
      </w:r>
    </w:p>
    <w:p>
      <w:pPr>
        <w:ind w:firstLine="480"/>
      </w:pPr>
      <w:r>
        <w:rPr/>
        <w:t>2.采购人：本项目是指</w:t>
      </w:r>
      <w:r>
        <w:rPr/>
        <w:t>佛山市教育局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无：本项目兼投兼中。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采购机构代理服务收费标准：由成交人在领取《成交通知书》原件时向采购代理机构一 次性支付，服务费收费标准参照国家计委文件“计价格[2002]1980号文” 中服务类招标代理服 务费收费标准和发改办价格[2003]857号文的规定标准和国家发展改革委关于降低部分建设项目收费标准规范收费行为等有关问题的通知（发改价格[2012]534号）的规定执行</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佛山聚友工程项目管理有限公司</w:t>
      </w:r>
      <w:r>
        <w:rPr/>
        <w:t>代收。具体操作要求详见</w:t>
      </w:r>
      <w:r>
        <w:rPr/>
        <w:t>佛山聚友工程项目管理有限公司</w:t>
      </w:r>
      <w:r>
        <w:rPr/>
        <w:t>有关指引，递交事宜请自行咨询</w:t>
      </w:r>
      <w:r>
        <w:rPr/>
        <w:t>佛山聚友工程项目管理有限公司</w:t>
      </w:r>
      <w:r>
        <w:rPr/>
        <w:t>；请各供应商在响应文件递交截止时间前按须知前附表规定的金额递交至</w:t>
      </w:r>
      <w:r>
        <w:rPr/>
        <w:t>佛山聚友工程项目管理有限公司</w:t>
      </w:r>
      <w:r>
        <w:rPr/>
        <w:t>，到账情况以开启时</w:t>
      </w:r>
      <w:r>
        <w:rPr/>
        <w:t>佛山聚友工程项目管理有限公司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杨工</w:t>
      </w:r>
    </w:p>
    <w:p>
      <w:pPr>
        <w:ind w:firstLine="480"/>
      </w:pPr>
      <w:r>
        <w:rPr/>
        <w:t>电话：</w:t>
      </w:r>
      <w:r>
        <w:rPr/>
        <w:t>83388785</w:t>
      </w:r>
    </w:p>
    <w:p>
      <w:pPr>
        <w:ind w:firstLine="480"/>
      </w:pPr>
      <w:r>
        <w:rPr/>
        <w:t>传真：</w:t>
      </w:r>
      <w:r>
        <w:rPr/>
        <w:t>83388785</w:t>
      </w:r>
    </w:p>
    <w:p>
      <w:pPr>
        <w:ind w:firstLine="480"/>
      </w:pPr>
      <w:r>
        <w:rPr/>
        <w:t>邮箱：</w:t>
      </w:r>
      <w:r>
        <w:rPr/>
        <w:t>fsjuyou@163.com</w:t>
      </w:r>
    </w:p>
    <w:p>
      <w:pPr>
        <w:ind w:firstLine="480"/>
      </w:pPr>
      <w:r>
        <w:rPr/>
        <w:t>地址：</w:t>
      </w:r>
      <w:r>
        <w:rPr/>
        <w:t>佛山市禅城区金源街8号8楼</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广州市规定自《成交通知书》发出之日起二十日内签订合同），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(2022年佛山市普通高中和初中学业水平考试计算机辅助考试服务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佛山聚友工程项目管理有限公司</w:t>
      </w:r>
      <w:r>
        <w:rPr/>
        <w:t>统一对外发布。</w:t>
      </w:r>
    </w:p>
    <w:p>
      <w:pPr>
        <w:ind w:firstLine="480"/>
      </w:pPr>
      <w:r>
        <w:rPr/>
        <w:t>（2）对</w:t>
      </w:r>
      <w:r>
        <w:rPr/>
        <w:t>佛山聚友工程项目管理有限公司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4.7不同投标人的电子投标文件制作计算机的网卡MAC地址硬件信息相同的。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采购包1（2022年佛山市普通高中和初中学业水平考试计算机辅助考试服务项目）：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表一资格性审查表：</w:t>
      </w:r>
    </w:p>
    <w:p>
      <w:pPr>
        <w:ind w:firstLine="480"/>
      </w:pPr>
    </w:p>
    <w:p/>
    <w:p>
      <w:r>
        <w:rPr/>
        <w:t>采购包1（2022年佛山市普通高中和初中学业水平考试计算机辅助考试服务项目）：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供应商必须具有良好的商业信誉和健全的财务会计制度（提供2020年度财务报告或2021年至今任意1个月的财务状况报告或基本开户行出具的资信证明）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促进中小企业发展</w:t>
            </w:r>
          </w:p>
        </w:tc>
        <w:tc>
          <w:tcPr>
            <w:tcW w:type="dxa" w:w="4238"/>
          </w:tcPr>
          <w:p>
            <w:r>
              <w:rPr/>
              <w:t>采购包整体专门面向中小企业。只允许中小企业、监狱企业、残疾人福利性单位参与本项目投标。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标的按照《中小企业划分标准规定》（工信部联企业[2011]300号）划分行业为：其他未列明行业。</w:t>
            </w:r>
          </w:p>
        </w:tc>
      </w:tr>
    </w:tbl>
    <w:p/>
    <w:p>
      <w:pPr>
        <w:ind w:firstLine="480"/>
      </w:pPr>
      <w:r>
        <w:rPr/>
        <w:t>表二符合性审查表：</w:t>
      </w:r>
    </w:p>
    <w:p>
      <w:pPr>
        <w:ind w:firstLine="480"/>
      </w:pPr>
    </w:p>
    <w:p/>
    <w:p>
      <w:r>
        <w:rPr/>
        <w:t>采购包1（2022年佛山市普通高中和初中学业水平考试计算机辅助考试服务项目）：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磋商函</w:t>
            </w:r>
          </w:p>
        </w:tc>
        <w:tc>
          <w:tcPr>
            <w:tcW w:type="dxa" w:w="4238"/>
          </w:tcPr>
          <w:p>
            <w:r>
              <w:rPr/>
              <w:t>磋商函已提交并符合竞争性磋商文件要求的。</w:t>
            </w:r>
          </w:p>
        </w:tc>
      </w:tr>
      <w:tr>
        <w:tc>
          <w:tcPr>
            <w:tcW w:type="dxa" w:w="890"/>
          </w:tcPr>
          <w:p>
            <w:r>
              <w:rPr/>
              <w:t>2</w:t>
            </w:r>
          </w:p>
        </w:tc>
        <w:tc>
          <w:tcPr>
            <w:tcW w:type="dxa" w:w="3178"/>
          </w:tcPr>
          <w:p>
            <w:r>
              <w:rPr/>
              <w:t>签字盖章</w:t>
            </w:r>
          </w:p>
        </w:tc>
        <w:tc>
          <w:tcPr>
            <w:tcW w:type="dxa" w:w="4238"/>
          </w:tcPr>
          <w:p>
            <w:r>
              <w:rPr/>
              <w:t>按照竞争性磋商文件规定要求签署、盖章且响应文件有法定代表人签署本人姓名或 印盖本人姓名章，或签署人有法定代表人有效授权书的。</w:t>
            </w:r>
          </w:p>
        </w:tc>
      </w:tr>
      <w:tr>
        <w:tc>
          <w:tcPr>
            <w:tcW w:type="dxa" w:w="890"/>
          </w:tcPr>
          <w:p>
            <w:r>
              <w:rPr/>
              <w:t>3</w:t>
            </w:r>
          </w:p>
        </w:tc>
        <w:tc>
          <w:tcPr>
            <w:tcW w:type="dxa" w:w="3178"/>
          </w:tcPr>
          <w:p>
            <w:r>
              <w:rPr/>
              <w:t>报价要求</w:t>
            </w:r>
          </w:p>
        </w:tc>
        <w:tc>
          <w:tcPr>
            <w:tcW w:type="dxa" w:w="4238"/>
          </w:tcPr>
          <w:p>
            <w:r>
              <w:rPr/>
              <w:t>最后报价未超过本项目的最高限价的。</w:t>
            </w:r>
          </w:p>
        </w:tc>
      </w:tr>
      <w:tr>
        <w:tc>
          <w:tcPr>
            <w:tcW w:type="dxa" w:w="890"/>
          </w:tcPr>
          <w:p>
            <w:r>
              <w:rPr/>
              <w:t>4</w:t>
            </w:r>
          </w:p>
        </w:tc>
        <w:tc>
          <w:tcPr>
            <w:tcW w:type="dxa" w:w="3178"/>
          </w:tcPr>
          <w:p>
            <w:r>
              <w:rPr/>
              <w:t>其他</w:t>
            </w:r>
          </w:p>
        </w:tc>
        <w:tc>
          <w:tcPr>
            <w:tcW w:type="dxa" w:w="4238"/>
          </w:tcPr>
          <w:p>
            <w:r>
              <w:rPr/>
              <w:t>响应文件没有竞争性磋商文件中规定的其它无效投标条款的。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2022年佛山市普通高中和初中学业水平考试计算机辅助考试服务项目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数据加密技术应用方案 (4.0分)</w:t>
            </w:r>
            <w:r>
              <w:rPr/>
              <w:t>，（等次分值选择：</w:t>
            </w:r>
            <w:r>
              <w:rPr/>
              <w:t>0.0;</w:t>
            </w:r>
            <w:r>
              <w:rPr/>
              <w:t>1.0;</w:t>
            </w:r>
            <w:r>
              <w:rPr/>
              <w:t>2.0;</w:t>
            </w:r>
            <w:r>
              <w:rPr/>
              <w:t>4.0;</w:t>
            </w:r>
            <w:r>
              <w:rPr/>
              <w:t>）</w:t>
            </w:r>
          </w:p>
        </w:tc>
        <w:tc>
          <w:tcPr>
            <w:tcW w:type="dxa" w:w="5076"/>
          </w:tcPr>
          <w:p>
            <w:pPr>
              <w:jc w:val="left"/>
            </w:pPr>
            <w:r>
              <w:rPr/>
              <w:t>供应商使用符合国家密码管理要求的数据存储和传输加密算法、技术。 1.提供商用密码应用方案，要求方案合理、可行、规范和完备的，得4分； 2.提供商用密码应用方案，方案较合理的，得2分； 3.提供商用密码应用方案，方案差的，得1分； 4.未提供商用密码应用方案的，得0分。</w:t>
            </w:r>
          </w:p>
        </w:tc>
      </w:tr>
      <w:tr>
        <w:tc>
          <w:tcPr>
            <w:tcW w:type="dxa" w:w="922"/>
            <w:gridSpan w:val="2"/>
            <w:vMerge/>
          </w:tcPr>
          <w:p/>
        </w:tc>
        <w:tc>
          <w:tcPr>
            <w:tcW w:type="dxa" w:w="2307"/>
          </w:tcPr>
          <w:p>
            <w:pPr>
              <w:jc w:val="left"/>
            </w:pPr>
            <w:r>
              <w:rPr/>
              <w:t>信息系统安全等级保护 (4.0分)</w:t>
            </w:r>
          </w:p>
        </w:tc>
        <w:tc>
          <w:tcPr>
            <w:tcW w:type="dxa" w:w="5076"/>
          </w:tcPr>
          <w:p>
            <w:pPr>
              <w:jc w:val="left"/>
            </w:pPr>
            <w:r>
              <w:rPr/>
              <w:t>供应商具有信息系统安全等级保护三级备案证明、等级测评报告以及测评结果通知书的，得4分，其他情况不得分。 注：须提供相关资料扫描件或复印件加盖供应商公章</w:t>
            </w:r>
          </w:p>
        </w:tc>
      </w:tr>
      <w:tr>
        <w:tc>
          <w:tcPr>
            <w:tcW w:type="dxa" w:w="922"/>
            <w:gridSpan w:val="2"/>
            <w:vMerge/>
          </w:tcPr>
          <w:p/>
        </w:tc>
        <w:tc>
          <w:tcPr>
            <w:tcW w:type="dxa" w:w="2307"/>
          </w:tcPr>
          <w:p>
            <w:pPr>
              <w:jc w:val="left"/>
            </w:pPr>
            <w:r>
              <w:rPr/>
              <w:t>加密试题传输系统及方法 (4.0分)</w:t>
            </w:r>
          </w:p>
        </w:tc>
        <w:tc>
          <w:tcPr>
            <w:tcW w:type="dxa" w:w="5076"/>
          </w:tcPr>
          <w:p>
            <w:pPr>
              <w:jc w:val="left"/>
            </w:pPr>
            <w:r>
              <w:rPr/>
              <w:t>供应商提供的加密试题传输系统及方法安全可靠，具有实际应用案例的，得4分，其他情况不得分。 注：须提供实际应用案例的用户使用证明（加盖客户单位公章）复印件加盖供应商公章。</w:t>
            </w:r>
          </w:p>
        </w:tc>
      </w:tr>
      <w:tr>
        <w:tc>
          <w:tcPr>
            <w:tcW w:type="dxa" w:w="922"/>
            <w:gridSpan w:val="2"/>
            <w:vMerge/>
          </w:tcPr>
          <w:p/>
        </w:tc>
        <w:tc>
          <w:tcPr>
            <w:tcW w:type="dxa" w:w="2307"/>
          </w:tcPr>
          <w:p>
            <w:pPr>
              <w:jc w:val="left"/>
            </w:pPr>
            <w:r>
              <w:rPr/>
              <w:t>系统稳定性 (10.0分)</w:t>
            </w:r>
          </w:p>
        </w:tc>
        <w:tc>
          <w:tcPr>
            <w:tcW w:type="dxa" w:w="5076"/>
          </w:tcPr>
          <w:p>
            <w:pPr>
              <w:jc w:val="left"/>
            </w:pPr>
            <w:r>
              <w:rPr/>
              <w:t>根据供应商的考试系统近三年支持计算机辅助考试服务规模情况进行评审： 单次计算机辅助考试的累计考生人次≥50万，得10分； 单次计算机辅助考试的累计考生人次≥30万，得7分； 单次计算机辅助考试的累计考生人次≥10万，得4分； 单次计算机辅助考试的累计考生人次≥3万，得1分； 单次计算机辅助考试的累计考生人次在3万以下，不得分。 注：1.按得分最高项计分，不得重复计分。2.提供成功应用案例的合同或项目验收报告（加盖客户单位公章）复印件加盖供应商公章。</w:t>
            </w:r>
          </w:p>
        </w:tc>
      </w:tr>
      <w:tr>
        <w:tc>
          <w:tcPr>
            <w:tcW w:type="dxa" w:w="922"/>
            <w:gridSpan w:val="2"/>
            <w:vMerge/>
          </w:tcPr>
          <w:p/>
        </w:tc>
        <w:tc>
          <w:tcPr>
            <w:tcW w:type="dxa" w:w="2307"/>
          </w:tcPr>
          <w:p>
            <w:pPr>
              <w:jc w:val="left"/>
            </w:pPr>
            <w:r>
              <w:rPr/>
              <w:t>技术方案评价 (15.0分)</w:t>
            </w:r>
            <w:r>
              <w:rPr/>
              <w:t>，（等次分值选择：</w:t>
            </w:r>
            <w:r>
              <w:rPr/>
              <w:t>0.0;</w:t>
            </w:r>
            <w:r>
              <w:rPr/>
              <w:t>3.0;</w:t>
            </w:r>
            <w:r>
              <w:rPr/>
              <w:t>6.0;</w:t>
            </w:r>
            <w:r>
              <w:rPr/>
              <w:t>9.0;</w:t>
            </w:r>
            <w:r>
              <w:rPr/>
              <w:t>12.0;</w:t>
            </w:r>
            <w:r>
              <w:rPr/>
              <w:t>15.0;</w:t>
            </w:r>
            <w:r>
              <w:rPr/>
              <w:t>）</w:t>
            </w:r>
          </w:p>
        </w:tc>
        <w:tc>
          <w:tcPr>
            <w:tcW w:type="dxa" w:w="5076"/>
          </w:tcPr>
          <w:p>
            <w:pPr>
              <w:jc w:val="left"/>
            </w:pPr>
            <w:r>
              <w:rPr/>
              <w:t>供应商从系统架构、技术设计、软件产品、硬件设备4个方面提供符合采购方的实际应用场景的技术方案。 （1）方案全面合理的得15分； （2）方案较全面合理的得12分； （3）方案一般的得9分； （4）方案不够全面合理的得6分； （4）方案差的得3分； （5）不提供不得分。</w:t>
            </w:r>
          </w:p>
        </w:tc>
      </w:tr>
      <w:tr>
        <w:tc>
          <w:tcPr>
            <w:tcW w:type="dxa" w:w="922"/>
            <w:gridSpan w:val="2"/>
            <w:vMerge/>
          </w:tcPr>
          <w:p/>
        </w:tc>
        <w:tc>
          <w:tcPr>
            <w:tcW w:type="dxa" w:w="2307"/>
          </w:tcPr>
          <w:p>
            <w:pPr>
              <w:jc w:val="left"/>
            </w:pPr>
            <w:r>
              <w:rPr/>
              <w:t>系统功能展示 (8.0分)</w:t>
            </w:r>
          </w:p>
        </w:tc>
        <w:tc>
          <w:tcPr>
            <w:tcW w:type="dxa" w:w="5076"/>
          </w:tcPr>
          <w:p>
            <w:pPr>
              <w:jc w:val="left"/>
            </w:pPr>
            <w:r>
              <w:rPr/>
              <w:t>（1）试题转化系统——演示在Windows真实应用软件环境下操作题自动评分【软件支持office 2010（文字处理、电子表格、演示文稿）、Flash、Python等）】； （2）考务管理系统——演示考前考试数据下载、封场，考中考生考试状态，考后数据上报情况进行监控； （3）同步备份系统——演示恢复监考管理系统和数据； （4）考试作答系统——演示对单选题、多选题、判断题、填空题、操作题、简答题、连线、排序、拼图、填色、听辨等题型的支持。（至少演示4种不同题型） 注：1.供应商须提供完整、清晰的系统功能介绍界面截图，每项得2分，满分8分。</w:t>
            </w:r>
          </w:p>
        </w:tc>
      </w:tr>
      <w:tr>
        <w:tc>
          <w:tcPr>
            <w:tcW w:type="dxa" w:w="922"/>
            <w:gridSpan w:val="2"/>
            <w:vMerge w:val="restart"/>
          </w:tcPr>
          <w:p>
            <w:pPr>
              <w:jc w:val="center"/>
            </w:pPr>
            <w:r>
              <w:rPr/>
              <w:t>商务部分</w:t>
            </w:r>
          </w:p>
        </w:tc>
        <w:tc>
          <w:tcPr>
            <w:tcW w:type="dxa" w:w="2307"/>
          </w:tcPr>
          <w:p>
            <w:pPr>
              <w:jc w:val="left"/>
            </w:pPr>
            <w:r>
              <w:rPr/>
              <w:t>企业资质 (15.0分)</w:t>
            </w:r>
          </w:p>
        </w:tc>
        <w:tc>
          <w:tcPr>
            <w:tcW w:type="dxa" w:w="5076"/>
          </w:tcPr>
          <w:p>
            <w:pPr>
              <w:jc w:val="left"/>
            </w:pPr>
            <w:r>
              <w:rPr/>
              <w:t>1.具有题库、考务管理、考试系统、网上评卷相关的的软件著作权，每提供一个类别的软件著作权得2分，本项最高得8分。 注：须提供相关证书材料复印件加盖投标人公章。 2.具有由国家认证认可监督管理部门批准设立的认证机构颁发并在有效期内的信息安全管理体系认证证书、隐私信息管理体系认证证书、业务连续性管理体系认证证书，每提供一种证书得1分，本项最高得3分。 注：须提供有效证书复印件及中国国家认证认可监督管理委员会官网查询截图加盖投标人公章。 3.具有国家保密局颁发的涉密信息系统集成（软件开发类）甲级资质，得4分；乙级资质，得2分；其他不得分。 注：须提供有效证书复印件加盖投标人公章。</w:t>
            </w:r>
          </w:p>
        </w:tc>
      </w:tr>
      <w:tr>
        <w:tc>
          <w:tcPr>
            <w:tcW w:type="dxa" w:w="922"/>
            <w:gridSpan w:val="2"/>
            <w:vMerge/>
          </w:tcPr>
          <w:p/>
        </w:tc>
        <w:tc>
          <w:tcPr>
            <w:tcW w:type="dxa" w:w="2307"/>
          </w:tcPr>
          <w:p>
            <w:pPr>
              <w:jc w:val="left"/>
            </w:pPr>
            <w:r>
              <w:rPr/>
              <w:t>同类业绩 (20.0分)</w:t>
            </w:r>
          </w:p>
        </w:tc>
        <w:tc>
          <w:tcPr>
            <w:tcW w:type="dxa" w:w="5076"/>
          </w:tcPr>
          <w:p>
            <w:pPr>
              <w:jc w:val="left"/>
            </w:pPr>
            <w:r>
              <w:rPr/>
              <w:t>供应商近三年（2019年1月1日至今）业绩满足： 1.曾承担国家级计算机辅助考试服务相关项目，得4分； 2.曾承担省级计算机辅助考试服务相关项目，每提供一个业绩得2分，本项最高得10分； 3.曾承担地市级普通高中学业水平考试（信息技术、通用技术、音乐、美术科目）或初中学业水平（信息技术、音乐、美术科目）考试服务相关项目，每提供一个业绩得2分，本项最高得6分。 注：（1）同一用户单位不同年份只计一个业绩，以合同签订时间为准；（2）须提供每个业绩的完整合同复印件加盖投标人公章，否则不得分</w:t>
            </w:r>
          </w:p>
        </w:tc>
      </w:tr>
      <w:tr>
        <w:tc>
          <w:tcPr>
            <w:tcW w:type="dxa" w:w="922"/>
            <w:gridSpan w:val="2"/>
            <w:vMerge/>
          </w:tcPr>
          <w:p/>
        </w:tc>
        <w:tc>
          <w:tcPr>
            <w:tcW w:type="dxa" w:w="2307"/>
          </w:tcPr>
          <w:p>
            <w:pPr>
              <w:jc w:val="left"/>
            </w:pPr>
            <w:r>
              <w:rPr/>
              <w:t>项目团队 (10.0分)</w:t>
            </w:r>
          </w:p>
        </w:tc>
        <w:tc>
          <w:tcPr>
            <w:tcW w:type="dxa" w:w="5076"/>
          </w:tcPr>
          <w:p>
            <w:pPr>
              <w:jc w:val="left"/>
            </w:pPr>
            <w:r>
              <w:rPr/>
              <w:t>1.项目经理具备PMP认证资质且在省级及以上信息系统建设中担任过项目经理并有客户提供的证明得4分。 注：（1）须提供相关资质证书及客户提供的证明材料扫描件或复印件加盖投标人公章，漏项、缺项或提供不齐全不计分；（2）须提供项目经理近1年内连续3个月的社保证明。 2.拟投入本项目的团队实施成员不少于15人，其中4人或以上具有信息系统项目管理师高级资质，3人或以上具有软件评测师资质的得4分，否则不得分。 注：（1）须提供相关资质证书扫描件或复印件加盖投标人公章，漏项、缺项或提供不齐全不计分；（2）须提供项目实施成员近1年内连续3个月的社保证明。 3.项目团队成员具有信息安全资质（NISP或CISP或信息安全工程师）得2分。 注：（1）须提供信息安全资质证书的扫描件或复印件加盖投标人公章，漏项、缺项或提供不齐全不计分；（2）须提供持有信息安全资质证书的项目团队成员近1年内连续3个月的社保证明。</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排名第三的磋商供应商为第三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b/>
          <w:sz w:val="24"/>
        </w:rPr>
        <w:t>JYZB-FS-2022023</w:t>
      </w:r>
    </w:p>
    <w:p>
      <w:pPr>
        <w:jc w:val="both"/>
      </w:pPr>
      <w:r>
        <w:rPr>
          <w:color w:val="222222"/>
          <w:sz w:val="27"/>
        </w:rPr>
        <w:t xml:space="preserve"> </w:t>
      </w:r>
    </w:p>
    <w:p>
      <w:pPr>
        <w:jc w:val="center"/>
      </w:pPr>
      <w:r>
        <w:rPr>
          <w:color w:val="222222"/>
          <w:sz w:val="28"/>
        </w:rPr>
        <w:t>项目名称：</w:t>
      </w:r>
      <w:r>
        <w:rPr>
          <w:b/>
          <w:sz w:val="24"/>
        </w:rPr>
        <w:t>2022年佛山市普通高中和初中学业水平考试计算机辅助考试服务项目</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4"/>
        </w:rPr>
        <w:t>甲</w:t>
      </w:r>
      <w:r>
        <w:rPr>
          <w:b/>
          <w:sz w:val="24"/>
        </w:rPr>
        <w:t xml:space="preserve">   方：</w:t>
      </w:r>
      <w:r>
        <w:rPr>
          <w:b/>
          <w:sz w:val="24"/>
          <w:u w:val="single"/>
        </w:rPr>
        <w:t>佛山市教育局</w:t>
      </w:r>
    </w:p>
    <w:p>
      <w:pPr>
        <w:jc w:val="both"/>
      </w:pPr>
      <w:r>
        <w:rPr>
          <w:b/>
          <w:sz w:val="24"/>
        </w:rPr>
        <w:t>乙</w:t>
      </w:r>
      <w:r>
        <w:rPr>
          <w:b/>
          <w:sz w:val="24"/>
        </w:rPr>
        <w:t xml:space="preserve">   方：</w:t>
      </w:r>
      <w:r>
        <w:rPr>
          <w:b/>
          <w:sz w:val="24"/>
          <w:u w:val="single"/>
        </w:rPr>
        <w:t xml:space="preserve"> </w:t>
      </w:r>
      <w:r>
        <w:rPr>
          <w:b/>
          <w:sz w:val="24"/>
          <w:u w:val="single"/>
        </w:rPr>
        <w:t>（成交供应商）</w:t>
      </w:r>
      <w:r>
        <w:rPr>
          <w:b/>
          <w:sz w:val="24"/>
          <w:u w:val="single"/>
        </w:rPr>
        <w:t xml:space="preserve">     </w:t>
      </w:r>
    </w:p>
    <w:p>
      <w:pPr>
        <w:jc w:val="both"/>
      </w:pPr>
      <w:r>
        <w:rPr>
          <w:b/>
          <w:sz w:val="24"/>
        </w:rPr>
        <w:t>见证单位：</w:t>
      </w:r>
      <w:r>
        <w:rPr>
          <w:b/>
          <w:sz w:val="24"/>
          <w:u w:val="single"/>
        </w:rPr>
        <w:t>佛山聚友工程项目管理有限公司</w:t>
      </w:r>
    </w:p>
    <w:p>
      <w:pPr>
        <w:ind w:firstLine="480"/>
        <w:jc w:val="left"/>
      </w:pPr>
      <w:r>
        <w:rPr>
          <w:color w:val="000000"/>
          <w:sz w:val="24"/>
        </w:rPr>
        <w:t>根据</w:t>
      </w:r>
      <w:r>
        <w:rPr>
          <w:color w:val="000000"/>
          <w:sz w:val="24"/>
        </w:rPr>
        <w:t>2022年佛山市普通高中和初中学业水平考试计算机辅助考试服务项目</w:t>
      </w:r>
      <w:r>
        <w:rPr>
          <w:color w:val="000000"/>
          <w:sz w:val="24"/>
        </w:rPr>
        <w:t>的采购结果，</w:t>
      </w:r>
      <w:r>
        <w:rPr>
          <w:color w:val="000000"/>
          <w:sz w:val="24"/>
        </w:rPr>
        <w:t>按</w:t>
      </w:r>
      <w:r>
        <w:rPr>
          <w:color w:val="000000"/>
          <w:sz w:val="24"/>
        </w:rPr>
        <w:t>照《中华人民共和国政府采购法》、《中华人民共和国</w:t>
      </w:r>
      <w:r>
        <w:rPr>
          <w:color w:val="000000"/>
          <w:sz w:val="24"/>
        </w:rPr>
        <w:t>民法典</w:t>
      </w:r>
      <w:r>
        <w:rPr>
          <w:color w:val="000000"/>
          <w:sz w:val="24"/>
        </w:rPr>
        <w:t>》、磋商文件的要求，经双方协商，本着平等互利和诚实信用的原则，一致同意签订本合同如下。</w:t>
      </w:r>
    </w:p>
    <w:p>
      <w:pPr>
        <w:jc w:val="both"/>
      </w:pPr>
      <w:r>
        <w:rPr>
          <w:b/>
          <w:color w:val="000000"/>
          <w:sz w:val="24"/>
        </w:rPr>
        <w:t>一、</w:t>
      </w:r>
      <w:r>
        <w:rPr>
          <w:b/>
          <w:color w:val="000000"/>
          <w:sz w:val="24"/>
        </w:rPr>
        <w:t>主要工作要求</w:t>
      </w:r>
      <w:r>
        <w:rPr>
          <w:b/>
          <w:color w:val="000000"/>
          <w:sz w:val="24"/>
        </w:rPr>
        <w:t>：</w:t>
      </w:r>
      <w:r>
        <w:rPr>
          <w:color w:val="000000"/>
          <w:sz w:val="24"/>
        </w:rPr>
        <w:t>（视项目具体情况填写，与采购文件用户需求要求相对应）</w:t>
      </w:r>
    </w:p>
    <w:p>
      <w:pPr>
        <w:jc w:val="both"/>
      </w:pPr>
      <w:r>
        <w:rPr>
          <w:b/>
          <w:color w:val="000000"/>
          <w:sz w:val="24"/>
        </w:rPr>
        <w:t>二、</w:t>
      </w:r>
      <w:r>
        <w:rPr>
          <w:b/>
          <w:color w:val="000000"/>
          <w:sz w:val="24"/>
        </w:rPr>
        <w:t>合同金额：</w:t>
      </w:r>
    </w:p>
    <w:p>
      <w:pPr>
        <w:jc w:val="left"/>
      </w:pPr>
      <w:r>
        <w:rPr>
          <w:color w:val="000000"/>
          <w:sz w:val="24"/>
        </w:rPr>
        <w:t>1、</w:t>
      </w:r>
      <w:r>
        <w:rPr>
          <w:color w:val="000000"/>
          <w:sz w:val="24"/>
        </w:rPr>
        <w:t>广东省佛山市整体项目包干价</w:t>
      </w:r>
      <w:r>
        <w:rPr>
          <w:color w:val="000000"/>
          <w:sz w:val="24"/>
        </w:rPr>
        <w:t>。</w:t>
      </w:r>
    </w:p>
    <w:p>
      <w:pPr>
        <w:jc w:val="left"/>
      </w:pPr>
      <w:r>
        <w:rPr>
          <w:color w:val="000000"/>
          <w:sz w:val="24"/>
        </w:rPr>
        <w:t>2</w:t>
      </w:r>
      <w:r>
        <w:rPr>
          <w:color w:val="000000"/>
          <w:sz w:val="24"/>
        </w:rPr>
        <w:t>、</w:t>
      </w:r>
      <w:r>
        <w:rPr>
          <w:color w:val="000000"/>
          <w:sz w:val="24"/>
        </w:rPr>
        <w:t>合同总额人民币</w:t>
      </w:r>
      <w:r>
        <w:rPr>
          <w:color w:val="000000"/>
          <w:sz w:val="24"/>
        </w:rPr>
        <w:t xml:space="preserve"> 小写：</w:t>
      </w:r>
      <w:r>
        <w:rPr>
          <w:sz w:val="21"/>
          <w:u w:val="single"/>
        </w:rPr>
        <w:t xml:space="preserve">               </w:t>
      </w:r>
      <w:r>
        <w:rPr>
          <w:color w:val="000000"/>
          <w:sz w:val="24"/>
        </w:rPr>
        <w:t xml:space="preserve"> </w:t>
      </w:r>
      <w:r>
        <w:rPr>
          <w:color w:val="000000"/>
          <w:sz w:val="24"/>
        </w:rPr>
        <w:t>大写：</w:t>
      </w:r>
      <w:r>
        <w:rPr>
          <w:sz w:val="21"/>
          <w:u w:val="single"/>
        </w:rPr>
        <w:t xml:space="preserve">  </w:t>
      </w:r>
      <w:r>
        <w:rPr>
          <w:sz w:val="21"/>
          <w:u w:val="single"/>
        </w:rPr>
        <w:t xml:space="preserve">             </w:t>
      </w:r>
      <w:r>
        <w:rPr>
          <w:sz w:val="21"/>
          <w:u w:val="single"/>
        </w:rPr>
        <w:t xml:space="preserve">    </w:t>
      </w:r>
      <w:r>
        <w:rPr>
          <w:color w:val="000000"/>
          <w:sz w:val="24"/>
        </w:rPr>
        <w:t>。</w:t>
      </w:r>
      <w:r>
        <w:rPr>
          <w:sz w:val="21"/>
          <w:u w:val="single"/>
        </w:rPr>
        <w:t xml:space="preserve">                            </w:t>
      </w:r>
    </w:p>
    <w:p>
      <w:pPr>
        <w:jc w:val="left"/>
      </w:pPr>
      <w:r>
        <w:rPr>
          <w:color w:val="000000"/>
          <w:sz w:val="24"/>
        </w:rPr>
        <w:t>3</w:t>
      </w:r>
      <w:r>
        <w:rPr>
          <w:color w:val="000000"/>
          <w:sz w:val="24"/>
        </w:rPr>
        <w:t>、</w:t>
      </w:r>
      <w:r>
        <w:rPr>
          <w:color w:val="000000"/>
          <w:sz w:val="24"/>
        </w:rPr>
        <w:t>合同总额必须</w:t>
      </w:r>
      <w:r>
        <w:rPr>
          <w:color w:val="000000"/>
          <w:sz w:val="24"/>
        </w:rPr>
        <w:t>包括</w:t>
      </w:r>
      <w:r>
        <w:rPr>
          <w:color w:val="000000"/>
          <w:sz w:val="24"/>
        </w:rPr>
        <w:t>初、高中学业水平考试机考服务费和硬件设施费、</w:t>
      </w:r>
      <w:r>
        <w:rPr>
          <w:color w:val="000000"/>
          <w:sz w:val="24"/>
        </w:rPr>
        <w:t>运维服务费、雇员费、技术支持与服务、验收、培训辅导、质保期售后服务、人员驻场和差旅住宿费、保险、税金以及全额含税发票、临时雇员费用、合同实施过程中的应预见和不可预见费用等完成合同规定责任和义务、达到合同目的的一切费用及企业利润</w:t>
      </w:r>
      <w:r>
        <w:rPr>
          <w:color w:val="000000"/>
          <w:sz w:val="24"/>
        </w:rPr>
        <w:t>。</w:t>
      </w:r>
    </w:p>
    <w:p>
      <w:pPr>
        <w:jc w:val="left"/>
      </w:pPr>
      <w:r>
        <w:rPr>
          <w:color w:val="000000"/>
          <w:sz w:val="24"/>
        </w:rPr>
        <w:t>4</w:t>
      </w:r>
      <w:r>
        <w:rPr>
          <w:color w:val="000000"/>
          <w:sz w:val="24"/>
        </w:rPr>
        <w:t>、乙方须承担</w:t>
      </w:r>
      <w:r>
        <w:rPr>
          <w:color w:val="000000"/>
          <w:sz w:val="24"/>
        </w:rPr>
        <w:t>考试系统</w:t>
      </w:r>
      <w:r>
        <w:rPr>
          <w:color w:val="000000"/>
          <w:sz w:val="24"/>
        </w:rPr>
        <w:t>三级等保测评相关费用。</w:t>
      </w:r>
    </w:p>
    <w:p>
      <w:pPr>
        <w:jc w:val="left"/>
      </w:pPr>
      <w:r>
        <w:rPr>
          <w:color w:val="000000"/>
          <w:sz w:val="24"/>
        </w:rPr>
        <w:t>5、项目配套技术若涉及购买第三方版权、专利权、商标权或其他知识产权，其所需费用应在此次报价中包含。</w:t>
      </w:r>
    </w:p>
    <w:p>
      <w:pPr>
        <w:jc w:val="left"/>
      </w:pPr>
      <w:r>
        <w:rPr>
          <w:color w:val="000000"/>
          <w:sz w:val="24"/>
        </w:rPr>
        <w:t>6、</w:t>
      </w:r>
      <w:r>
        <w:rPr>
          <w:color w:val="000000"/>
          <w:sz w:val="24"/>
        </w:rPr>
        <w:t>乙方需</w:t>
      </w:r>
      <w:r>
        <w:rPr>
          <w:color w:val="000000"/>
          <w:sz w:val="24"/>
        </w:rPr>
        <w:t>自行考虑本项目在实施期间的一切可能产生的费用。在合同执行过程中，采购人将不再另行支付与本项目相关的任何费用（非本项目要求的其它内容除外）。</w:t>
      </w:r>
    </w:p>
    <w:p>
      <w:pPr>
        <w:jc w:val="left"/>
      </w:pPr>
      <w:r>
        <w:rPr>
          <w:color w:val="000000"/>
          <w:sz w:val="24"/>
        </w:rPr>
        <w:t>7、</w:t>
      </w:r>
      <w:r>
        <w:rPr>
          <w:color w:val="000000"/>
          <w:sz w:val="24"/>
        </w:rPr>
        <w:t>价格为固定不变价，天数为公历日。</w:t>
      </w:r>
    </w:p>
    <w:p>
      <w:pPr>
        <w:jc w:val="both"/>
      </w:pPr>
      <w:r>
        <w:rPr>
          <w:b/>
          <w:color w:val="000000"/>
          <w:sz w:val="24"/>
        </w:rPr>
        <w:t>三、</w:t>
      </w:r>
      <w:r>
        <w:rPr>
          <w:b/>
          <w:color w:val="000000"/>
          <w:sz w:val="24"/>
        </w:rPr>
        <w:t>付款方式：</w:t>
      </w:r>
    </w:p>
    <w:p>
      <w:pPr>
        <w:jc w:val="both"/>
      </w:pPr>
      <w:r>
        <w:rPr>
          <w:sz w:val="24"/>
        </w:rPr>
        <w:t>1.</w:t>
      </w:r>
      <w:r>
        <w:rPr>
          <w:sz w:val="24"/>
        </w:rPr>
        <w:t>合同签订且提交经采购方</w:t>
      </w:r>
      <w:r>
        <w:rPr>
          <w:sz w:val="24"/>
        </w:rPr>
        <w:t>甲方</w:t>
      </w:r>
      <w:r>
        <w:rPr>
          <w:sz w:val="24"/>
        </w:rPr>
        <w:t>认可的《项目服务方案》后1</w:t>
      </w:r>
      <w:r>
        <w:rPr>
          <w:sz w:val="24"/>
        </w:rPr>
        <w:t>5</w:t>
      </w:r>
      <w:r>
        <w:rPr>
          <w:sz w:val="24"/>
        </w:rPr>
        <w:t>个工作日内，</w:t>
      </w:r>
      <w:r>
        <w:rPr>
          <w:sz w:val="24"/>
        </w:rPr>
        <w:t>甲方</w:t>
      </w:r>
      <w:r>
        <w:rPr>
          <w:sz w:val="24"/>
        </w:rPr>
        <w:t>向</w:t>
      </w:r>
      <w:r>
        <w:rPr>
          <w:sz w:val="24"/>
        </w:rPr>
        <w:t>乙方</w:t>
      </w:r>
      <w:r>
        <w:rPr>
          <w:sz w:val="24"/>
        </w:rPr>
        <w:t>支付合同总价的</w:t>
      </w:r>
      <w:r>
        <w:rPr>
          <w:sz w:val="24"/>
        </w:rPr>
        <w:t>30%</w:t>
      </w:r>
      <w:r>
        <w:rPr>
          <w:sz w:val="24"/>
        </w:rPr>
        <w:t>，</w:t>
      </w:r>
      <w:r>
        <w:rPr>
          <w:sz w:val="24"/>
        </w:rPr>
        <w:t>合计</w:t>
      </w:r>
      <w:r>
        <w:rPr>
          <w:sz w:val="21"/>
          <w:u w:val="single"/>
        </w:rPr>
        <w:t xml:space="preserve">          </w:t>
      </w:r>
      <w:r>
        <w:rPr>
          <w:sz w:val="24"/>
        </w:rPr>
        <w:t>元；</w:t>
      </w:r>
    </w:p>
    <w:p>
      <w:pPr>
        <w:jc w:val="both"/>
      </w:pPr>
      <w:r>
        <w:rPr>
          <w:sz w:val="24"/>
        </w:rPr>
        <w:t>2.所有科目机考的最终成绩数据，经考试系统厂家核查无误后；考试成绩数据、相关报表完整移交至</w:t>
      </w:r>
      <w:r>
        <w:rPr>
          <w:sz w:val="24"/>
        </w:rPr>
        <w:t>甲方</w:t>
      </w:r>
      <w:r>
        <w:rPr>
          <w:sz w:val="24"/>
        </w:rPr>
        <w:t>相关部门并复核无误，</w:t>
      </w:r>
      <w:r>
        <w:rPr>
          <w:sz w:val="24"/>
        </w:rPr>
        <w:t>15个工作日内，支付合同总价的70%款项</w:t>
      </w:r>
      <w:r>
        <w:rPr>
          <w:sz w:val="24"/>
        </w:rPr>
        <w:t>，</w:t>
      </w:r>
      <w:r>
        <w:rPr>
          <w:sz w:val="24"/>
        </w:rPr>
        <w:t>合计</w:t>
      </w:r>
      <w:r>
        <w:rPr>
          <w:sz w:val="21"/>
          <w:u w:val="single"/>
        </w:rPr>
        <w:t xml:space="preserve">          </w:t>
      </w:r>
      <w:r>
        <w:rPr>
          <w:sz w:val="24"/>
        </w:rPr>
        <w:t>元</w:t>
      </w:r>
      <w:r>
        <w:rPr>
          <w:sz w:val="24"/>
        </w:rPr>
        <w:t>；</w:t>
      </w:r>
    </w:p>
    <w:p>
      <w:pPr>
        <w:jc w:val="both"/>
      </w:pPr>
      <w:r>
        <w:rPr>
          <w:sz w:val="24"/>
        </w:rPr>
        <w:t>3.</w:t>
      </w:r>
      <w:r>
        <w:rPr>
          <w:sz w:val="24"/>
        </w:rPr>
        <w:t>收款方、出具发票方、合同乙方均必须与成交人名称一致</w:t>
      </w:r>
      <w:r>
        <w:rPr>
          <w:color w:val="000000"/>
          <w:sz w:val="24"/>
        </w:rPr>
        <w:t>。</w:t>
      </w:r>
    </w:p>
    <w:p>
      <w:pPr>
        <w:jc w:val="both"/>
      </w:pPr>
      <w:r>
        <w:rPr>
          <w:b/>
          <w:color w:val="000000"/>
          <w:sz w:val="24"/>
        </w:rPr>
        <w:t>四、</w:t>
      </w:r>
      <w:r>
        <w:rPr>
          <w:b/>
          <w:color w:val="000000"/>
          <w:sz w:val="24"/>
        </w:rPr>
        <w:t>服务地点：</w:t>
      </w:r>
      <w:r>
        <w:rPr>
          <w:color w:val="000000"/>
          <w:sz w:val="24"/>
        </w:rPr>
        <w:t>甲方指定地点。</w:t>
      </w:r>
    </w:p>
    <w:p>
      <w:pPr>
        <w:jc w:val="both"/>
      </w:pPr>
      <w:r>
        <w:rPr>
          <w:b/>
          <w:color w:val="000000"/>
          <w:sz w:val="24"/>
        </w:rPr>
        <w:t>五、</w:t>
      </w:r>
      <w:r>
        <w:rPr>
          <w:b/>
          <w:color w:val="000000"/>
          <w:sz w:val="24"/>
        </w:rPr>
        <w:t>服务期：</w:t>
      </w:r>
      <w:r>
        <w:rPr>
          <w:sz w:val="24"/>
        </w:rPr>
        <w:t>本项目的技术服务一年</w:t>
      </w:r>
      <w:r>
        <w:rPr>
          <w:sz w:val="24"/>
        </w:rPr>
        <w:t>。</w:t>
      </w:r>
      <w:r>
        <w:rPr>
          <w:sz w:val="24"/>
        </w:rPr>
        <w:t>按照采购人</w:t>
      </w:r>
      <w:r>
        <w:rPr>
          <w:sz w:val="24"/>
        </w:rPr>
        <w:t>202</w:t>
      </w:r>
      <w:r>
        <w:rPr>
          <w:sz w:val="24"/>
        </w:rPr>
        <w:t>2</w:t>
      </w:r>
      <w:r>
        <w:rPr>
          <w:sz w:val="24"/>
        </w:rPr>
        <w:t>年的相关科目考试安排</w:t>
      </w:r>
      <w:r>
        <w:rPr>
          <w:color w:val="000000"/>
          <w:sz w:val="24"/>
        </w:rPr>
        <w:t>，在指定的时间提供合格的机考技术服务。确定</w:t>
      </w:r>
      <w:r>
        <w:rPr>
          <w:sz w:val="24"/>
        </w:rPr>
        <w:t>成交人</w:t>
      </w:r>
      <w:r>
        <w:rPr>
          <w:color w:val="000000"/>
          <w:sz w:val="24"/>
        </w:rPr>
        <w:t>后，根据采购人的考务安排组织实施机考；每科机考结束后一周内，提交合格的服务成果进行验收</w:t>
      </w:r>
      <w:r>
        <w:rPr>
          <w:color w:val="000000"/>
          <w:sz w:val="24"/>
        </w:rPr>
        <w:t>。</w:t>
      </w:r>
    </w:p>
    <w:p>
      <w:pPr>
        <w:jc w:val="both"/>
      </w:pPr>
      <w:r>
        <w:rPr>
          <w:b/>
          <w:color w:val="000000"/>
          <w:sz w:val="24"/>
        </w:rPr>
        <w:t>六、</w:t>
      </w:r>
      <w:r>
        <w:rPr>
          <w:b/>
          <w:color w:val="000000"/>
          <w:sz w:val="24"/>
        </w:rPr>
        <w:t>项目实施人员要求：</w:t>
      </w:r>
    </w:p>
    <w:p>
      <w:pPr>
        <w:jc w:val="left"/>
      </w:pPr>
      <w:r>
        <w:rPr>
          <w:color w:val="000000"/>
          <w:sz w:val="24"/>
        </w:rPr>
        <w:t>（一）</w:t>
      </w:r>
      <w:r>
        <w:rPr>
          <w:color w:val="000000"/>
          <w:sz w:val="24"/>
        </w:rPr>
        <w:t>配合甲方按时完成每次考试全流程的组织实施工作，提供编排考场、制作试卷、考试环境安装部署、环境测试、模拟考试、考前检查和封场、试卷包及密钥包传输、考试实施现场服务、考试数据上传与回收、评分及成绩发布、成绩分析等全过程技术服务。每场考试结束后，技术支持单位应在</w:t>
      </w:r>
      <w:r>
        <w:rPr>
          <w:color w:val="000000"/>
          <w:sz w:val="24"/>
        </w:rPr>
        <w:t>2小时内检测数据是否完整无误，并协助甲方跟进未上传考试数据或考试数据有问题的情况，确保考试数据完整。</w:t>
      </w:r>
    </w:p>
    <w:p>
      <w:pPr>
        <w:jc w:val="left"/>
      </w:pPr>
      <w:r>
        <w:rPr>
          <w:color w:val="000000"/>
          <w:sz w:val="24"/>
        </w:rPr>
        <w:t>（二）</w:t>
      </w:r>
      <w:r>
        <w:rPr>
          <w:color w:val="000000"/>
          <w:sz w:val="24"/>
        </w:rPr>
        <w:t>技术服务团队人员配置要求</w:t>
      </w:r>
    </w:p>
    <w:p>
      <w:pPr>
        <w:ind w:firstLine="480"/>
        <w:jc w:val="left"/>
      </w:pPr>
      <w:r>
        <w:rPr>
          <w:sz w:val="24"/>
        </w:rPr>
        <w:t>1．乙方应当具有充足、有效的项目实施资源。乙方须提供本项目的实施团队/资源/实施合作伙伴的规模、结构、地理分布；实施团队/实施合作伙伴的人员构成和经验。</w:t>
      </w:r>
    </w:p>
    <w:p>
      <w:pPr>
        <w:ind w:firstLine="480"/>
        <w:jc w:val="left"/>
      </w:pPr>
      <w:r>
        <w:rPr>
          <w:sz w:val="24"/>
        </w:rPr>
        <w:t>2．乙方在技术服务期限内须实行项目经理负责制，指定专人负责本项目的业务，切实履行技术服务承诺，并接受</w:t>
      </w:r>
      <w:r>
        <w:rPr>
          <w:color w:val="000000"/>
          <w:sz w:val="24"/>
        </w:rPr>
        <w:t>甲方</w:t>
      </w:r>
      <w:r>
        <w:rPr>
          <w:sz w:val="24"/>
        </w:rPr>
        <w:t>的全程监督与指正，在项目实施每个阶段如质、如量、如期的完成任务。</w:t>
      </w:r>
    </w:p>
    <w:p>
      <w:pPr>
        <w:ind w:firstLine="480"/>
        <w:jc w:val="left"/>
      </w:pPr>
      <w:r>
        <w:rPr>
          <w:sz w:val="24"/>
        </w:rPr>
        <w:t>3．</w:t>
      </w:r>
      <w:r>
        <w:rPr>
          <w:color w:val="000000"/>
          <w:sz w:val="24"/>
        </w:rPr>
        <w:t>在模拟考试和正考期间，乙方应组织足够的技术人力支持全市各区县、考点的考试实施工作，并配备足够的技术负责人指导各技术支持小组的工作。</w:t>
      </w:r>
    </w:p>
    <w:p>
      <w:pPr>
        <w:ind w:firstLine="480"/>
        <w:jc w:val="left"/>
      </w:pPr>
      <w:r>
        <w:rPr>
          <w:sz w:val="24"/>
        </w:rPr>
        <w:t>4．</w:t>
      </w:r>
      <w:r>
        <w:rPr>
          <w:color w:val="000000"/>
          <w:sz w:val="24"/>
        </w:rPr>
        <w:t>乙方提供现场或远程协助快速解决问题服务，提供技术支持团队方案。常设专门的服务热线电话、服务质量投诉电话、邮件、ＱＱ群、网站等在线技术支持；及时安排专人跟进各个考点的技术咨询服务，并对各种反馈情况进行记录</w:t>
      </w:r>
      <w:r>
        <w:rPr>
          <w:sz w:val="24"/>
        </w:rPr>
        <w:t>。</w:t>
      </w:r>
    </w:p>
    <w:p>
      <w:pPr>
        <w:ind w:firstLine="480"/>
        <w:jc w:val="left"/>
      </w:pPr>
      <w:r>
        <w:rPr>
          <w:sz w:val="24"/>
        </w:rPr>
        <w:t>5．</w:t>
      </w:r>
      <w:r>
        <w:rPr>
          <w:color w:val="000000"/>
          <w:sz w:val="24"/>
        </w:rPr>
        <w:t>技术人员配备及相应要求。提供专门服务团队成员的详细列表，包括姓名、职责、联系方式、服务事项与区域等。</w:t>
      </w:r>
      <w:r>
        <w:rPr>
          <w:color w:val="000000"/>
          <w:sz w:val="24"/>
        </w:rPr>
        <w:t>在系统部署联调测试、模拟考试、正式考试期间，乙方至少安排</w:t>
      </w:r>
      <w:r>
        <w:rPr>
          <w:color w:val="000000"/>
          <w:sz w:val="24"/>
        </w:rPr>
        <w:t>2名（含本项目总负责人）在</w:t>
      </w:r>
      <w:r>
        <w:rPr>
          <w:b/>
          <w:color w:val="000000"/>
          <w:sz w:val="24"/>
        </w:rPr>
        <w:t>市教育局、每个区至少安排</w:t>
      </w:r>
      <w:r>
        <w:rPr>
          <w:b/>
          <w:color w:val="000000"/>
          <w:sz w:val="24"/>
        </w:rPr>
        <w:t>1名专职</w:t>
      </w:r>
      <w:r>
        <w:rPr>
          <w:color w:val="000000"/>
          <w:sz w:val="24"/>
        </w:rPr>
        <w:t>技术服务人员在甲方指定地点进行现场技术服务，实行</w:t>
      </w:r>
      <w:r>
        <w:rPr>
          <w:color w:val="000000"/>
          <w:sz w:val="24"/>
        </w:rPr>
        <w:t>7*24小时工作制，安排多名专职技术服务人员在服务商本部提供技术支撑服务；在数据核查阶段，至少安排3名技术服务人员进行全面细致的成绩数据核查、统计分析、撰写服务报告等。非考试时段，</w:t>
      </w:r>
      <w:r>
        <w:rPr>
          <w:color w:val="000000"/>
          <w:sz w:val="24"/>
        </w:rPr>
        <w:t>系统出现问题，收到反馈信息后</w:t>
      </w:r>
      <w:r>
        <w:rPr>
          <w:color w:val="000000"/>
          <w:sz w:val="24"/>
        </w:rPr>
        <w:t>1</w:t>
      </w:r>
      <w:r>
        <w:rPr>
          <w:color w:val="000000"/>
          <w:sz w:val="24"/>
        </w:rPr>
        <w:t>小时</w:t>
      </w:r>
      <w:r>
        <w:rPr>
          <w:color w:val="000000"/>
          <w:sz w:val="24"/>
        </w:rPr>
        <w:t>内安排人员</w:t>
      </w:r>
      <w:r>
        <w:rPr>
          <w:color w:val="000000"/>
          <w:sz w:val="24"/>
        </w:rPr>
        <w:t>在线技术服务。在考试时段，系统出现问题，收到反馈信息后</w:t>
      </w:r>
      <w:r>
        <w:rPr>
          <w:color w:val="000000"/>
          <w:sz w:val="24"/>
        </w:rPr>
        <w:t>10分钟内安排专人专车，赶赴现场。在考试时段，</w:t>
      </w:r>
      <w:r>
        <w:rPr>
          <w:color w:val="000000"/>
          <w:sz w:val="24"/>
        </w:rPr>
        <w:t>立即安排</w:t>
      </w:r>
      <w:r>
        <w:rPr>
          <w:color w:val="000000"/>
          <w:sz w:val="24"/>
        </w:rPr>
        <w:t>驻场</w:t>
      </w:r>
      <w:r>
        <w:rPr>
          <w:color w:val="000000"/>
          <w:sz w:val="24"/>
        </w:rPr>
        <w:t>技术人员解决</w:t>
      </w:r>
      <w:r>
        <w:rPr>
          <w:sz w:val="24"/>
        </w:rPr>
        <w:t>。</w:t>
      </w:r>
    </w:p>
    <w:p>
      <w:pPr>
        <w:ind w:firstLine="480"/>
        <w:jc w:val="left"/>
      </w:pPr>
      <w:r>
        <w:rPr>
          <w:sz w:val="24"/>
        </w:rPr>
        <w:t>6．</w:t>
      </w:r>
      <w:r>
        <w:rPr>
          <w:color w:val="000000"/>
          <w:sz w:val="24"/>
        </w:rPr>
        <w:t>技术服务人员资质要求：</w:t>
      </w:r>
      <w:r>
        <w:rPr>
          <w:color w:val="000000"/>
          <w:sz w:val="24"/>
        </w:rPr>
        <w:t>通信或计算机类专业本科或同等学历及以上，</w:t>
      </w:r>
      <w:r>
        <w:rPr>
          <w:color w:val="000000"/>
          <w:sz w:val="24"/>
        </w:rPr>
        <w:t>具有</w:t>
      </w:r>
      <w:r>
        <w:rPr>
          <w:color w:val="000000"/>
          <w:sz w:val="24"/>
        </w:rPr>
        <w:t>2年以上项目服务经验，具备良好的沟通协调能力和问题处理能力，工作认真负责，具有高度的责任心</w:t>
      </w:r>
      <w:r>
        <w:rPr>
          <w:sz w:val="24"/>
        </w:rPr>
        <w:t>。</w:t>
      </w:r>
    </w:p>
    <w:p>
      <w:pPr>
        <w:ind w:firstLine="480"/>
        <w:jc w:val="left"/>
      </w:pPr>
      <w:r>
        <w:rPr>
          <w:sz w:val="24"/>
        </w:rPr>
        <w:t>6．</w:t>
      </w:r>
      <w:r>
        <w:rPr>
          <w:color w:val="000000"/>
          <w:sz w:val="24"/>
        </w:rPr>
        <w:t>人员工作稳定：乙方须在项目实施过程中</w:t>
      </w:r>
      <w:r>
        <w:rPr>
          <w:color w:val="000000"/>
          <w:sz w:val="24"/>
        </w:rPr>
        <w:t>必须</w:t>
      </w:r>
      <w:r>
        <w:rPr>
          <w:color w:val="000000"/>
          <w:sz w:val="24"/>
        </w:rPr>
        <w:t>配备足够的项目人员并保证人员稳定，项目团队人员不得随意更换，任何变更应书面征得甲方的同意。乙方在项目实施过程中出现资源、进度、质量协调控制不力的情况，甲方有权要求更换相关项目人员，乙方必须予以配合，并确保不影响项目建设的进度和质量。乙方必须无条件接受甲方的监督检查，并承担人员不足、不到位所导致的相关质量、进度等违约责任。</w:t>
      </w:r>
    </w:p>
    <w:p>
      <w:pPr>
        <w:jc w:val="left"/>
      </w:pPr>
      <w:r>
        <w:rPr>
          <w:color w:val="000000"/>
          <w:sz w:val="24"/>
        </w:rPr>
        <w:t>（三）制定详细的技术服务方案</w:t>
      </w:r>
    </w:p>
    <w:p>
      <w:pPr>
        <w:ind w:firstLine="480"/>
        <w:jc w:val="left"/>
      </w:pPr>
      <w:r>
        <w:rPr>
          <w:color w:val="000000"/>
          <w:sz w:val="24"/>
        </w:rPr>
        <w:t>1</w:t>
      </w:r>
      <w:r>
        <w:rPr>
          <w:sz w:val="24"/>
        </w:rPr>
        <w:t>．</w:t>
      </w:r>
      <w:r>
        <w:rPr>
          <w:color w:val="000000"/>
          <w:sz w:val="24"/>
        </w:rPr>
        <w:t>技术服务实施方案：</w:t>
      </w:r>
      <w:r>
        <w:rPr>
          <w:sz w:val="24"/>
        </w:rPr>
        <w:t>乙方应提供完整的项目管理、系统功能研发升级、题库、系统部署及运维、培训、项目实施、项目验收、技术支持、保密方案；提供实施投标项目的工作日程表和人员配备方案，明确工作地点、起止时间、进度计划、里程碑、交付成果、人员安排和应急计划（方案）等，项目负责人及主要人员，包括组织结构、项目负责人、组成人员的资历信息、类似项目的经验及分工职责。</w:t>
      </w:r>
      <w:r>
        <w:rPr>
          <w:color w:val="000000"/>
          <w:sz w:val="24"/>
        </w:rPr>
        <w:t>项目的重难点分析准确，项目任务分解计划安排合理，进度计划详尽，人员和进度安排全面，能列出相应进度人员投入、进度安排表和质量管理措施，建立的相应保证措施得体、可执行性强。技术服务实施过程的描述完整、清晰、可控并符合有关信息技术服务外包标准。</w:t>
      </w:r>
    </w:p>
    <w:p>
      <w:pPr>
        <w:ind w:firstLine="480"/>
        <w:jc w:val="left"/>
      </w:pPr>
      <w:r>
        <w:rPr>
          <w:color w:val="000000"/>
          <w:sz w:val="24"/>
        </w:rPr>
        <w:t>2</w:t>
      </w:r>
      <w:r>
        <w:rPr>
          <w:sz w:val="24"/>
        </w:rPr>
        <w:t>．</w:t>
      </w:r>
      <w:r>
        <w:rPr>
          <w:color w:val="000000"/>
          <w:sz w:val="24"/>
        </w:rPr>
        <w:t>标准化考务工作方案。乙方须针对本项目提供与考试系统采购需求匹配的合理、完整的考务工作方案至少包括：</w:t>
      </w:r>
    </w:p>
    <w:p>
      <w:pPr>
        <w:ind w:firstLine="480"/>
        <w:jc w:val="left"/>
      </w:pPr>
      <w:r>
        <w:rPr>
          <w:color w:val="000000"/>
          <w:sz w:val="24"/>
        </w:rPr>
        <w:t>（</w:t>
      </w:r>
      <w:r>
        <w:rPr>
          <w:color w:val="000000"/>
          <w:sz w:val="24"/>
        </w:rPr>
        <w:t>1）编制标准化考务工作手册。</w:t>
      </w:r>
    </w:p>
    <w:p>
      <w:pPr>
        <w:ind w:firstLine="480"/>
        <w:jc w:val="left"/>
      </w:pPr>
      <w:r>
        <w:rPr>
          <w:color w:val="000000"/>
          <w:sz w:val="24"/>
        </w:rPr>
        <w:t>（</w:t>
      </w:r>
      <w:r>
        <w:rPr>
          <w:color w:val="000000"/>
          <w:sz w:val="24"/>
        </w:rPr>
        <w:t>2）考点和考场的</w:t>
      </w:r>
      <w:r>
        <w:rPr>
          <w:sz w:val="24"/>
        </w:rPr>
        <w:t>最低和推荐的机房主机和网络设备等配置要求、</w:t>
      </w:r>
      <w:r>
        <w:rPr>
          <w:color w:val="000000"/>
          <w:sz w:val="24"/>
        </w:rPr>
        <w:t>测试、运维、评估和验收管理方案。</w:t>
      </w:r>
    </w:p>
    <w:p>
      <w:pPr>
        <w:ind w:firstLine="480"/>
        <w:jc w:val="left"/>
      </w:pPr>
      <w:r>
        <w:rPr>
          <w:color w:val="000000"/>
          <w:sz w:val="24"/>
        </w:rPr>
        <w:t>（</w:t>
      </w:r>
      <w:r>
        <w:rPr>
          <w:color w:val="000000"/>
          <w:sz w:val="24"/>
        </w:rPr>
        <w:t>3）明确市招生办和区招生办工作人员、考点主考、监考人员、技术人员等的职责任务，并制定培训和考核工作方案。</w:t>
      </w:r>
    </w:p>
    <w:p>
      <w:pPr>
        <w:ind w:firstLine="480"/>
        <w:jc w:val="left"/>
      </w:pPr>
      <w:r>
        <w:rPr>
          <w:color w:val="000000"/>
          <w:sz w:val="24"/>
        </w:rPr>
        <w:t>3</w:t>
      </w:r>
      <w:r>
        <w:rPr>
          <w:sz w:val="24"/>
        </w:rPr>
        <w:t>．</w:t>
      </w:r>
      <w:r>
        <w:rPr>
          <w:color w:val="000000"/>
          <w:sz w:val="24"/>
        </w:rPr>
        <w:t>考务应急处理预案：乙方须提供佛山市机考技术服务考务应急处理预案，有效预防、及时控制和妥善处理机考过程中的各类突发事件，确保上机考试的安全，维护正常考试秩序。投标人应充分预见到考试过程中可能发生的考试组织和技术方面的突发事件，制定详尽而可行的应急预案；能够建立突发事件沟通渠道，按照应急预案和采购人要求及时报告并有效处理突发情况。</w:t>
      </w:r>
    </w:p>
    <w:p>
      <w:pPr>
        <w:jc w:val="left"/>
      </w:pPr>
      <w:r>
        <w:rPr>
          <w:color w:val="000000"/>
          <w:sz w:val="24"/>
        </w:rPr>
        <w:t>（四）</w:t>
      </w:r>
      <w:r>
        <w:rPr>
          <w:sz w:val="24"/>
        </w:rPr>
        <w:t>项目过程管理</w:t>
      </w:r>
    </w:p>
    <w:p>
      <w:pPr>
        <w:ind w:firstLine="480"/>
        <w:jc w:val="left"/>
      </w:pPr>
      <w:r>
        <w:rPr>
          <w:color w:val="000000"/>
          <w:sz w:val="24"/>
        </w:rPr>
        <w:t>1．乙方在项目实施过程中必须分别按周、月提交进度报告，对项目问题及进度延迟原因进行说明，制定合理的解决措施并有效执行。</w:t>
      </w:r>
    </w:p>
    <w:p>
      <w:pPr>
        <w:ind w:firstLine="480"/>
        <w:jc w:val="left"/>
      </w:pPr>
      <w:r>
        <w:rPr>
          <w:color w:val="000000"/>
          <w:sz w:val="24"/>
        </w:rPr>
        <w:t>2．乙方在项目实施过程中应加强问题管理，特别对甲方提出的问题应在约定的时间内及时解决，并提交书面报告，否则由此导致的进度延迟责任由乙方承担。考点在日常使用过程中提出的需求和建议，乙方要指定专人进行汇总，并会同甲方进行论证，最终给出技术性意见或建议，具体修改决定由甲方确定。</w:t>
      </w:r>
    </w:p>
    <w:p>
      <w:pPr>
        <w:ind w:firstLine="480"/>
        <w:jc w:val="left"/>
      </w:pPr>
      <w:r>
        <w:rPr>
          <w:color w:val="000000"/>
          <w:sz w:val="24"/>
        </w:rPr>
        <w:t>3．乙方在每次考试结束后一周内提交服务小结报告，小结经验教训，为下一次考试提出改进完善措施。乙方在全部考试服务结束后两周内提交服务总结报告，全面分析总结经验教训，分类汇总问题，为甲方提出今后改进完善措施。</w:t>
      </w:r>
    </w:p>
    <w:p>
      <w:pPr>
        <w:jc w:val="both"/>
      </w:pPr>
      <w:r>
        <w:rPr>
          <w:b/>
          <w:color w:val="000000"/>
          <w:sz w:val="24"/>
        </w:rPr>
        <w:t>七、</w:t>
      </w:r>
      <w:r>
        <w:rPr>
          <w:b/>
          <w:color w:val="000000"/>
          <w:sz w:val="24"/>
        </w:rPr>
        <w:t>培训要求：</w:t>
      </w:r>
    </w:p>
    <w:p>
      <w:pPr>
        <w:ind w:firstLine="480"/>
        <w:jc w:val="left"/>
      </w:pPr>
      <w:r>
        <w:rPr>
          <w:color w:val="000000"/>
          <w:sz w:val="24"/>
        </w:rPr>
        <w:t>乙方协助甲方部署和开展各考点的考试考务工作，组织各区和考点相关考务人员进行培训。</w:t>
      </w:r>
    </w:p>
    <w:p>
      <w:pPr>
        <w:ind w:firstLine="480"/>
        <w:jc w:val="left"/>
      </w:pPr>
      <w:r>
        <w:rPr>
          <w:color w:val="000000"/>
          <w:sz w:val="24"/>
        </w:rPr>
        <w:t>（一）编制培训材料</w:t>
      </w:r>
    </w:p>
    <w:p>
      <w:pPr>
        <w:ind w:firstLine="480"/>
        <w:jc w:val="left"/>
      </w:pPr>
      <w:r>
        <w:rPr>
          <w:color w:val="000000"/>
          <w:sz w:val="24"/>
        </w:rPr>
        <w:t>1．面向考生的机考指引。</w:t>
      </w:r>
    </w:p>
    <w:p>
      <w:pPr>
        <w:ind w:firstLine="480"/>
        <w:jc w:val="left"/>
      </w:pPr>
      <w:r>
        <w:rPr>
          <w:color w:val="000000"/>
          <w:sz w:val="24"/>
        </w:rPr>
        <w:t>2．面向监考员的机考监考培训资料。</w:t>
      </w:r>
    </w:p>
    <w:p>
      <w:pPr>
        <w:ind w:firstLine="480"/>
        <w:jc w:val="left"/>
      </w:pPr>
      <w:r>
        <w:rPr>
          <w:color w:val="000000"/>
          <w:sz w:val="24"/>
        </w:rPr>
        <w:t>编写培训材料要符合科普性、针对性、实用性、通用性、可操作性原则，适合于机考全部科目，不断提升培训课程开发能力和丰富完善培训材料。培训资料的编写要图文并茂、简单易懂，相应的操作结合实例。</w:t>
      </w:r>
    </w:p>
    <w:p>
      <w:pPr>
        <w:ind w:firstLine="480"/>
        <w:jc w:val="left"/>
      </w:pPr>
      <w:r>
        <w:rPr>
          <w:color w:val="000000"/>
          <w:sz w:val="24"/>
        </w:rPr>
        <w:t>（二）监考培训内容和方式</w:t>
      </w:r>
    </w:p>
    <w:p>
      <w:pPr>
        <w:ind w:firstLine="480"/>
        <w:jc w:val="left"/>
      </w:pPr>
      <w:r>
        <w:rPr>
          <w:color w:val="000000"/>
          <w:sz w:val="24"/>
        </w:rPr>
        <w:t>提供面向考点技术人员的应用系统安装配置和应用等方面的培训，使考点技术人员能够熟悉系统的整体结构，熟练使用和配置维护系统，能处理常见问题，能按考务规定独立组织完成考试。</w:t>
      </w:r>
    </w:p>
    <w:p>
      <w:pPr>
        <w:ind w:firstLine="480"/>
        <w:jc w:val="left"/>
      </w:pPr>
      <w:r>
        <w:rPr>
          <w:color w:val="000000"/>
          <w:sz w:val="24"/>
        </w:rPr>
        <w:t>现场集中培训为主，线上培训为辅（分散小规模、应急、答疑）。培训方式应包括技术讲课、操作示范、参观学习和其它必须的业务指导和技术咨询，确保培训人员对系统基本理论、技术特性、操作规范、运行规程、管理维护等方面获得全面了解和掌握。</w:t>
      </w:r>
    </w:p>
    <w:p>
      <w:pPr>
        <w:ind w:firstLine="480"/>
        <w:jc w:val="left"/>
      </w:pPr>
      <w:r>
        <w:rPr>
          <w:color w:val="000000"/>
          <w:sz w:val="24"/>
        </w:rPr>
        <w:t>（三）有关要求</w:t>
      </w:r>
    </w:p>
    <w:p>
      <w:pPr>
        <w:ind w:firstLine="480"/>
        <w:jc w:val="left"/>
      </w:pPr>
      <w:r>
        <w:rPr>
          <w:color w:val="000000"/>
          <w:sz w:val="24"/>
        </w:rPr>
        <w:t>1．做到有组织、有计划地进行培训，在培训开始前15天内将培训计划和资料提交甲方审核确认。培训计划要定时间、定地点、定内容、定进度、定要求、有练习、有考核。</w:t>
      </w:r>
    </w:p>
    <w:p>
      <w:pPr>
        <w:ind w:firstLine="480"/>
        <w:jc w:val="left"/>
      </w:pPr>
      <w:r>
        <w:rPr>
          <w:color w:val="000000"/>
          <w:sz w:val="24"/>
        </w:rPr>
        <w:t>2．培训要以问题为导向，与考务工作紧密结合。要认真进行培训意见收集和效果评估，及时分析原因和总结改进。</w:t>
      </w:r>
    </w:p>
    <w:p>
      <w:pPr>
        <w:ind w:firstLine="480"/>
        <w:jc w:val="left"/>
      </w:pPr>
      <w:r>
        <w:rPr>
          <w:color w:val="000000"/>
          <w:sz w:val="24"/>
        </w:rPr>
        <w:t>3．乙方必须派出具有相应专业资格和实际工作、教育经验的教师和相应的辅导人员进行培训，培训所使用的语言必须是中文，否则乙方必须提供相应的翻译。</w:t>
      </w:r>
    </w:p>
    <w:p>
      <w:pPr>
        <w:ind w:firstLine="480"/>
        <w:jc w:val="left"/>
      </w:pPr>
      <w:r>
        <w:rPr>
          <w:color w:val="000000"/>
          <w:sz w:val="24"/>
        </w:rPr>
        <w:t>4．乙方应为所有被培训人员提供培训用文字资料和讲义等相关用品。所有的资料必须是中文书写。培训费用包含在合同总额中。</w:t>
      </w:r>
    </w:p>
    <w:p>
      <w:pPr>
        <w:jc w:val="both"/>
      </w:pPr>
      <w:r>
        <w:rPr>
          <w:b/>
          <w:color w:val="000000"/>
          <w:sz w:val="24"/>
        </w:rPr>
        <w:t>八、</w:t>
      </w:r>
      <w:r>
        <w:rPr>
          <w:b/>
          <w:color w:val="000000"/>
          <w:sz w:val="24"/>
        </w:rPr>
        <w:t>验收要求：</w:t>
      </w:r>
    </w:p>
    <w:p>
      <w:pPr>
        <w:ind w:firstLine="480"/>
        <w:jc w:val="left"/>
      </w:pPr>
      <w:r>
        <w:rPr>
          <w:color w:val="000000"/>
          <w:sz w:val="24"/>
        </w:rPr>
        <w:t>1.验收组织：项目所有工作内容完成以后，由乙方提交验收申请，由甲方组织验收小组，负责对项目进行全面验收。</w:t>
      </w:r>
    </w:p>
    <w:p>
      <w:pPr>
        <w:ind w:firstLine="480"/>
        <w:jc w:val="left"/>
      </w:pPr>
      <w:r>
        <w:rPr>
          <w:color w:val="000000"/>
          <w:sz w:val="24"/>
        </w:rPr>
        <w:t>2.项目验收依次序对照执行标准为：①符合中华人民共和国国家和履约地相关行业技术规范标准；②符合采购文件和响应承诺中各方共同认可的各项要求。③乙方在项目维护过程中的相对应的记录。</w:t>
      </w:r>
    </w:p>
    <w:p>
      <w:pPr>
        <w:ind w:firstLine="480"/>
        <w:jc w:val="left"/>
      </w:pPr>
      <w:r>
        <w:rPr>
          <w:color w:val="000000"/>
          <w:sz w:val="24"/>
        </w:rPr>
        <w:t>3.技术服务工作的验收标准：服务工作必须符合本项目招标文件及合同的有关要求和国家（或行业）有关法律法规及标准规范。</w:t>
      </w:r>
    </w:p>
    <w:p>
      <w:pPr>
        <w:jc w:val="both"/>
      </w:pPr>
      <w:r>
        <w:rPr>
          <w:b/>
          <w:color w:val="000000"/>
          <w:sz w:val="24"/>
        </w:rPr>
        <w:t>九、</w:t>
      </w:r>
      <w:r>
        <w:rPr>
          <w:b/>
          <w:color w:val="000000"/>
          <w:sz w:val="24"/>
        </w:rPr>
        <w:t>知识产权要求：</w:t>
      </w:r>
    </w:p>
    <w:p>
      <w:pPr>
        <w:ind w:firstLine="480"/>
        <w:jc w:val="left"/>
      </w:pPr>
      <w:r>
        <w:rPr>
          <w:color w:val="000000"/>
          <w:sz w:val="24"/>
        </w:rPr>
        <w:t>1.项目的所有成果著作权等知识产权和所有权益归甲方所有。乙方不得引用、发表和向第三者提供，除非征得甲方同意。</w:t>
      </w:r>
    </w:p>
    <w:p>
      <w:pPr>
        <w:ind w:firstLine="480"/>
        <w:jc w:val="left"/>
      </w:pPr>
      <w:r>
        <w:rPr>
          <w:color w:val="000000"/>
          <w:sz w:val="24"/>
        </w:rPr>
        <w:t>2.甲方引用乙方的工作成果所完成的新的技术成果，属于甲方所有，甲方可依法享有就该项技术成果取得的精神权利、经济权利和其他权利。</w:t>
      </w:r>
    </w:p>
    <w:p>
      <w:pPr>
        <w:ind w:firstLine="480"/>
        <w:jc w:val="left"/>
      </w:pPr>
      <w:r>
        <w:rPr>
          <w:color w:val="000000"/>
          <w:sz w:val="24"/>
        </w:rPr>
        <w:t>3.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p>
    <w:p>
      <w:pPr>
        <w:ind w:firstLine="480"/>
        <w:jc w:val="left"/>
      </w:pPr>
      <w:r>
        <w:rPr>
          <w:color w:val="000000"/>
          <w:sz w:val="24"/>
        </w:rPr>
        <w:t>4.乙方在合同履行过程中如果使用了自有或他人的专利和专有技术，所需费用由乙方自行承担；如果乙方向甲方交付的工作成果涉及第三人权利而引发争议，由乙方承担由此引起的一切经济和法律责任。</w:t>
      </w:r>
    </w:p>
    <w:p>
      <w:pPr>
        <w:jc w:val="both"/>
      </w:pPr>
      <w:r>
        <w:rPr>
          <w:b/>
          <w:color w:val="000000"/>
          <w:sz w:val="24"/>
        </w:rPr>
        <w:t>十、</w:t>
      </w:r>
      <w:r>
        <w:rPr>
          <w:b/>
          <w:color w:val="000000"/>
          <w:sz w:val="24"/>
        </w:rPr>
        <w:t>保密要求：</w:t>
      </w:r>
    </w:p>
    <w:p>
      <w:pPr>
        <w:ind w:firstLine="480"/>
        <w:jc w:val="both"/>
      </w:pPr>
      <w:r>
        <w:rPr>
          <w:color w:val="000000"/>
          <w:sz w:val="24"/>
        </w:rPr>
        <w:t>乙方必须如约承担合同履行时所应该尽的一切保密义务。乙方对甲方信息、项目实施过程中的资料、数据进行保密，未经甲方书面同意不得泄露给第三方，否则，甲方保留追究乙方法律责任的权利。保密责任不因合同的中止或解除而失效。</w:t>
      </w:r>
    </w:p>
    <w:p>
      <w:pPr>
        <w:jc w:val="both"/>
      </w:pPr>
      <w:r>
        <w:rPr>
          <w:b/>
          <w:color w:val="000000"/>
          <w:sz w:val="24"/>
        </w:rPr>
        <w:t>十一、</w:t>
      </w:r>
      <w:r>
        <w:rPr>
          <w:b/>
          <w:color w:val="000000"/>
          <w:sz w:val="24"/>
        </w:rPr>
        <w:t>违约责任</w:t>
      </w:r>
    </w:p>
    <w:p>
      <w:pPr>
        <w:ind w:firstLine="480"/>
        <w:jc w:val="left"/>
      </w:pPr>
      <w:r>
        <w:rPr>
          <w:color w:val="000000"/>
          <w:sz w:val="24"/>
        </w:rPr>
        <w:t>1.乙方未按要求履行合同义务时，甲方有权终止合同，由此造成甲方的经济损失由乙方承担。违约金不足以弥补损失的，乙方应按全额赔偿。</w:t>
      </w:r>
    </w:p>
    <w:p>
      <w:pPr>
        <w:ind w:firstLine="480"/>
        <w:jc w:val="left"/>
      </w:pPr>
      <w:r>
        <w:rPr>
          <w:color w:val="000000"/>
          <w:sz w:val="24"/>
        </w:rPr>
        <w:t>2.若因乙方编制的技术导则或对各项目方案的审查意见发生技术问题，而导致甲方或项目业主造成不必要的损失的，乙方应承担因此所造成的损失，必要时，甲方保留追究法律诉讼的权利。</w:t>
      </w:r>
    </w:p>
    <w:p>
      <w:pPr>
        <w:ind w:firstLine="480"/>
        <w:jc w:val="left"/>
      </w:pPr>
      <w:r>
        <w:rPr>
          <w:color w:val="000000"/>
          <w:sz w:val="24"/>
        </w:rPr>
        <w:t>3.甲方未按要求履行合同义务时，且无正当理由拖延付款时，甲方须向乙方支付滞纳金，标准为每日按违约总额的2‰累计。</w:t>
      </w:r>
    </w:p>
    <w:p>
      <w:pPr>
        <w:jc w:val="left"/>
      </w:pPr>
      <w:r>
        <w:rPr>
          <w:b/>
          <w:color w:val="000000"/>
          <w:sz w:val="24"/>
        </w:rPr>
        <w:t>十二、提</w:t>
      </w:r>
      <w:r>
        <w:rPr>
          <w:b/>
          <w:color w:val="000000"/>
          <w:sz w:val="24"/>
        </w:rPr>
        <w:t>出异议的时间和方法</w:t>
      </w:r>
    </w:p>
    <w:p>
      <w:pPr>
        <w:ind w:firstLine="480"/>
        <w:jc w:val="left"/>
      </w:pPr>
      <w:r>
        <w:rPr>
          <w:color w:val="000000"/>
          <w:sz w:val="24"/>
        </w:rPr>
        <w:t>1.甲方在如有异议时，即向乙方提出书面异议。</w:t>
      </w:r>
    </w:p>
    <w:p>
      <w:pPr>
        <w:ind w:firstLine="480"/>
        <w:jc w:val="left"/>
      </w:pPr>
      <w:r>
        <w:rPr>
          <w:color w:val="000000"/>
          <w:sz w:val="24"/>
        </w:rPr>
        <w:t>2.乙方在接到甲方书面异议后，应在2天内负责处理并函复甲方处理情况，否则，即视为默认甲方提出的异议和处理意见。</w:t>
      </w:r>
    </w:p>
    <w:p>
      <w:pPr>
        <w:ind w:firstLine="480"/>
        <w:jc w:val="left"/>
      </w:pPr>
      <w:r>
        <w:rPr>
          <w:color w:val="000000"/>
          <w:sz w:val="24"/>
        </w:rPr>
        <w:t>3.乙方利用专业技术和行业信息优势之便，以不道德的手段，故意隐瞒和掩盖自身缔约过失，违背投标承诺和未尽义务，损害了甲方的合法权益，甲方在任何时候均可追究乙方的违约责任并索取赔偿，且不受验收程序、质保期和合同时效的限制。</w:t>
      </w:r>
    </w:p>
    <w:p>
      <w:pPr>
        <w:jc w:val="both"/>
      </w:pPr>
      <w:r>
        <w:rPr>
          <w:b/>
          <w:color w:val="000000"/>
          <w:sz w:val="24"/>
        </w:rPr>
        <w:t>十三、</w:t>
      </w:r>
      <w:r>
        <w:rPr>
          <w:b/>
          <w:color w:val="000000"/>
          <w:sz w:val="24"/>
        </w:rPr>
        <w:t>争议的解决</w:t>
      </w:r>
    </w:p>
    <w:p>
      <w:pPr>
        <w:ind w:firstLine="480"/>
        <w:jc w:val="left"/>
      </w:pPr>
      <w:r>
        <w:rPr>
          <w:color w:val="000000"/>
          <w:sz w:val="24"/>
        </w:rPr>
        <w:t>1.合同履行过程中发生的任何争议，如双方未能通过友好协商解决，应向佛山市有管辖权的人民法院提起诉讼。</w:t>
      </w:r>
    </w:p>
    <w:p>
      <w:pPr>
        <w:ind w:firstLine="480"/>
        <w:jc w:val="left"/>
      </w:pPr>
      <w:r>
        <w:rPr>
          <w:color w:val="000000"/>
          <w:sz w:val="24"/>
        </w:rPr>
        <w:t>2.法院审理期间，除提交法院审理的事项外，合同其它事项和条款仍应继续履行。</w:t>
      </w:r>
    </w:p>
    <w:p>
      <w:pPr>
        <w:jc w:val="both"/>
      </w:pPr>
      <w:r>
        <w:rPr>
          <w:b/>
          <w:color w:val="000000"/>
          <w:sz w:val="24"/>
        </w:rPr>
        <w:t>十四、</w:t>
      </w:r>
      <w:r>
        <w:rPr>
          <w:b/>
          <w:color w:val="000000"/>
          <w:sz w:val="24"/>
        </w:rPr>
        <w:t>不可抗力：</w:t>
      </w:r>
    </w:p>
    <w:p>
      <w:pPr>
        <w:ind w:firstLine="480"/>
        <w:jc w:val="both"/>
      </w:pPr>
      <w:r>
        <w:rPr>
          <w:color w:val="000000"/>
          <w:sz w:val="24"/>
        </w:rPr>
        <w:t>任何一方由于不可抗力原因不能履行合同时，应在不可抗力事件结束后</w:t>
      </w:r>
      <w:r>
        <w:rPr>
          <w:color w:val="000000"/>
          <w:sz w:val="24"/>
        </w:rPr>
        <w:t>48小时内向对方通报，以减轻可能给对方造成的损失，在取得有关机构的不可抗力证明或双方谅解确认后，允许延期履行或修订合同，并根据情况可部分或全部免于承担违约责任。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4"/>
        </w:rPr>
        <w:t>十五、</w:t>
      </w:r>
      <w:r>
        <w:rPr>
          <w:b/>
          <w:color w:val="000000"/>
          <w:sz w:val="24"/>
        </w:rPr>
        <w:t>税费</w:t>
      </w:r>
    </w:p>
    <w:p>
      <w:pPr>
        <w:ind w:firstLine="480"/>
        <w:jc w:val="left"/>
      </w:pPr>
      <w:r>
        <w:rPr>
          <w:color w:val="000000"/>
          <w:sz w:val="24"/>
        </w:rPr>
        <w:t>1.本合同实施过程中所发生的一切税费及不可预见费均由乙方承担。</w:t>
      </w:r>
    </w:p>
    <w:p>
      <w:pPr>
        <w:ind w:firstLine="480"/>
        <w:jc w:val="left"/>
      </w:pPr>
      <w:r>
        <w:rPr>
          <w:color w:val="000000"/>
          <w:sz w:val="24"/>
        </w:rPr>
        <w:t>2.乙方依照税务规章优先在合同履约地开具发票及纳税。</w:t>
      </w:r>
    </w:p>
    <w:p>
      <w:pPr>
        <w:jc w:val="both"/>
      </w:pPr>
      <w:r>
        <w:rPr>
          <w:b/>
          <w:color w:val="000000"/>
          <w:sz w:val="24"/>
        </w:rPr>
        <w:t>十六、</w:t>
      </w:r>
      <w:r>
        <w:rPr>
          <w:b/>
          <w:color w:val="000000"/>
          <w:sz w:val="24"/>
        </w:rPr>
        <w:t>合同生效：</w:t>
      </w:r>
    </w:p>
    <w:p>
      <w:pPr>
        <w:ind w:firstLine="480"/>
        <w:jc w:val="both"/>
      </w:pPr>
      <w:r>
        <w:rPr>
          <w:color w:val="000000"/>
          <w:sz w:val="24"/>
        </w:rPr>
        <w:t>本合同在甲乙双方法人代表或其授权代理人签字盖章、代理公司见证之日起生效。</w:t>
      </w:r>
    </w:p>
    <w:p>
      <w:pPr>
        <w:jc w:val="both"/>
      </w:pPr>
      <w:r>
        <w:rPr>
          <w:b/>
          <w:color w:val="000000"/>
          <w:sz w:val="24"/>
        </w:rPr>
        <w:t>十七、</w:t>
      </w:r>
      <w:r>
        <w:rPr>
          <w:b/>
          <w:color w:val="000000"/>
          <w:sz w:val="24"/>
        </w:rPr>
        <w:t>其它</w:t>
      </w:r>
    </w:p>
    <w:p>
      <w:pPr>
        <w:ind w:firstLine="480"/>
        <w:jc w:val="left"/>
      </w:pPr>
      <w:r>
        <w:rPr>
          <w:color w:val="000000"/>
          <w:sz w:val="24"/>
        </w:rPr>
        <w:t>1.所有经一方或双方签署确认的文件（包括会议纪要、补充协议、往来信函）、采购文件和响应承诺文件、合同附件及《成交通知书》均为本合同不可分割的有效组成部分，与本合同具有同等的法律效力和履约义务，其生效日期为签字盖章确认之日期。</w:t>
      </w:r>
    </w:p>
    <w:p>
      <w:pPr>
        <w:ind w:firstLine="480"/>
        <w:jc w:val="left"/>
      </w:pPr>
      <w:r>
        <w:rPr>
          <w:color w:val="000000"/>
          <w:sz w:val="24"/>
        </w:rPr>
        <w:t>2.如一方地址、电话、传真号码有变更，应在变更当日内书面通知对方，否则，应承担相应责任。</w:t>
      </w:r>
    </w:p>
    <w:p>
      <w:pPr>
        <w:ind w:firstLine="480"/>
        <w:jc w:val="left"/>
      </w:pPr>
      <w:r>
        <w:rPr>
          <w:color w:val="000000"/>
          <w:sz w:val="24"/>
        </w:rPr>
        <w:t>3.未经甲方书面同意，乙方不得擅自向第三方转让其应履行的合同项下的义务。</w:t>
      </w:r>
    </w:p>
    <w:p>
      <w:pPr>
        <w:ind w:firstLine="480"/>
        <w:jc w:val="left"/>
      </w:pPr>
      <w:r>
        <w:rPr>
          <w:color w:val="000000"/>
          <w:sz w:val="24"/>
        </w:rPr>
        <w:t>4.本合同一式</w:t>
      </w:r>
      <w:r>
        <w:rPr>
          <w:u w:val="single"/>
        </w:rPr>
        <w:t xml:space="preserve">       </w:t>
      </w:r>
      <w:r>
        <w:rPr>
          <w:color w:val="000000"/>
          <w:sz w:val="24"/>
        </w:rPr>
        <w:t>份，甲方执</w:t>
      </w:r>
      <w:r>
        <w:rPr>
          <w:u w:val="single"/>
        </w:rPr>
        <w:t xml:space="preserve">       </w:t>
      </w:r>
      <w:r>
        <w:rPr>
          <w:color w:val="000000"/>
          <w:sz w:val="24"/>
        </w:rPr>
        <w:t>份、乙方执</w:t>
      </w:r>
      <w:r>
        <w:rPr>
          <w:u w:val="single"/>
        </w:rPr>
        <w:t xml:space="preserve">       </w:t>
      </w:r>
      <w:r>
        <w:rPr>
          <w:color w:val="000000"/>
          <w:sz w:val="24"/>
        </w:rPr>
        <w:t>份，代理公司执</w:t>
      </w:r>
      <w:r>
        <w:rPr>
          <w:color w:val="000000"/>
          <w:sz w:val="24"/>
          <w:u w:val="single"/>
        </w:rPr>
        <w:t xml:space="preserve"> </w:t>
      </w:r>
      <w:r>
        <w:rPr>
          <w:color w:val="000000"/>
          <w:sz w:val="24"/>
          <w:u w:val="single"/>
        </w:rPr>
        <w:t>贰</w:t>
      </w:r>
      <w:r>
        <w:rPr>
          <w:color w:val="000000"/>
          <w:sz w:val="24"/>
        </w:rPr>
        <w:t xml:space="preserve"> </w:t>
      </w:r>
      <w:r>
        <w:rPr>
          <w:color w:val="000000"/>
          <w:sz w:val="24"/>
        </w:rPr>
        <w:t>份。</w:t>
      </w:r>
    </w:p>
    <w:p>
      <w:pPr>
        <w:ind w:firstLine="480"/>
        <w:jc w:val="left"/>
      </w:pPr>
      <w:r>
        <w:rPr>
          <w:color w:val="000000"/>
          <w:sz w:val="24"/>
        </w:rPr>
        <w:t>5.本合同共计</w:t>
      </w:r>
      <w:r>
        <w:rPr>
          <w:u w:val="single"/>
        </w:rPr>
        <w:t xml:space="preserve">    </w:t>
      </w:r>
      <w:r>
        <w:rPr>
          <w:color w:val="000000"/>
          <w:sz w:val="24"/>
        </w:rPr>
        <w:t>页</w:t>
      </w:r>
      <w:r>
        <w:rPr>
          <w:color w:val="000000"/>
          <w:sz w:val="24"/>
        </w:rPr>
        <w:t>A4纸张，缺页之合同为无效合同。</w:t>
      </w:r>
    </w:p>
    <w:p>
      <w:pPr>
        <w:ind w:firstLine="480"/>
        <w:jc w:val="left"/>
      </w:pPr>
      <w:r>
        <w:rPr>
          <w:color w:val="000000"/>
          <w:sz w:val="24"/>
        </w:rPr>
        <w:t>6.本合同签约履约地点：广东省佛山市。</w:t>
      </w:r>
    </w:p>
    <w:p>
      <w:pPr>
        <w:ind w:firstLine="480"/>
        <w:jc w:val="left"/>
      </w:pPr>
      <w:r>
        <w:rPr>
          <w:color w:val="000000"/>
          <w:sz w:val="24"/>
        </w:rPr>
        <w:t>7.双方均已对以上各条款及附件作充分了解，并明确理解由此而产生的相关权责。</w:t>
      </w:r>
    </w:p>
    <w:p>
      <w:pPr>
        <w:jc w:val="both"/>
      </w:pPr>
      <w:r>
        <w:rPr>
          <w:b/>
          <w:sz w:val="24"/>
        </w:rPr>
        <w:t>（完）</w:t>
      </w:r>
    </w:p>
    <w:p>
      <w:pPr>
        <w:jc w:val="both"/>
      </w:pPr>
      <w:r>
        <w:rPr>
          <w:b/>
          <w:sz w:val="24"/>
        </w:rPr>
        <w:t>以下无正文</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234"/>
        <w:gridCol w:w="4072"/>
      </w:tblGrid>
      <w:tr>
        <w:tc>
          <w:tcPr>
            <w:tcW w:type="dxa" w:w="4234"/>
            <w:tcBorders>
              <w:top w:val="none" w:color="000000" w:sz="4"/>
              <w:left w:val="none" w:color="000000" w:sz="4"/>
              <w:bottom w:val="none" w:color="000000" w:sz="4"/>
              <w:right w:val="none" w:color="000000" w:sz="4"/>
            </w:tcBorders>
            <w:vAlign w:val="top"/>
          </w:tcPr>
          <w:p>
            <w:pPr>
              <w:jc w:val="both"/>
            </w:pPr>
            <w:r>
              <w:rPr>
                <w:b/>
                <w:sz w:val="24"/>
              </w:rPr>
              <w:t>甲方（盖章）：佛山市教育局</w:t>
            </w:r>
          </w:p>
        </w:tc>
        <w:tc>
          <w:tcPr>
            <w:tcW w:type="dxa" w:w="4072"/>
            <w:tcBorders>
              <w:top w:val="none" w:color="000000" w:sz="4"/>
              <w:left w:val="none" w:color="000000" w:sz="4"/>
              <w:bottom w:val="none" w:color="000000" w:sz="4"/>
              <w:right w:val="none" w:color="000000" w:sz="4"/>
            </w:tcBorders>
            <w:vAlign w:val="top"/>
          </w:tcPr>
          <w:p>
            <w:pPr>
              <w:jc w:val="both"/>
            </w:pPr>
            <w:r>
              <w:rPr>
                <w:b/>
                <w:sz w:val="24"/>
              </w:rPr>
              <w:t>乙方（盖章）：</w:t>
            </w:r>
          </w:p>
        </w:tc>
      </w:tr>
      <w:tr>
        <w:tc>
          <w:tcPr>
            <w:tcW w:type="dxa" w:w="4234"/>
            <w:tcBorders>
              <w:top w:val="none" w:color="000000" w:sz="4"/>
              <w:left w:val="none" w:color="000000" w:sz="4"/>
              <w:bottom w:val="none" w:color="000000" w:sz="4"/>
              <w:right w:val="none" w:color="000000" w:sz="4"/>
            </w:tcBorders>
            <w:vAlign w:val="top"/>
          </w:tcPr>
          <w:p>
            <w:pPr>
              <w:jc w:val="both"/>
            </w:pPr>
            <w:r>
              <w:rPr>
                <w:sz w:val="24"/>
              </w:rPr>
              <w:t>代表：</w:t>
            </w:r>
          </w:p>
        </w:tc>
        <w:tc>
          <w:tcPr>
            <w:tcW w:type="dxa" w:w="4072"/>
            <w:tcBorders>
              <w:top w:val="none" w:color="000000" w:sz="4"/>
              <w:left w:val="none" w:color="000000" w:sz="4"/>
              <w:bottom w:val="none" w:color="000000" w:sz="4"/>
              <w:right w:val="none" w:color="000000" w:sz="4"/>
            </w:tcBorders>
            <w:vAlign w:val="top"/>
          </w:tcPr>
          <w:p>
            <w:pPr>
              <w:jc w:val="both"/>
            </w:pPr>
            <w:r>
              <w:rPr>
                <w:sz w:val="24"/>
              </w:rPr>
              <w:t>代表：</w:t>
            </w:r>
          </w:p>
        </w:tc>
      </w:tr>
      <w:tr>
        <w:tc>
          <w:tcPr>
            <w:tcW w:type="dxa" w:w="4234"/>
            <w:tcBorders>
              <w:top w:val="none" w:color="000000" w:sz="4"/>
              <w:left w:val="none" w:color="000000" w:sz="4"/>
              <w:bottom w:val="none" w:color="000000" w:sz="4"/>
              <w:right w:val="none" w:color="000000" w:sz="4"/>
            </w:tcBorders>
            <w:vAlign w:val="top"/>
          </w:tcPr>
          <w:p>
            <w:pPr>
              <w:jc w:val="both"/>
            </w:pPr>
            <w:r>
              <w:rPr>
                <w:sz w:val="24"/>
              </w:rPr>
              <w:t>地址：</w:t>
            </w:r>
            <w:r>
              <w:rPr>
                <w:sz w:val="24"/>
              </w:rPr>
              <w:t xml:space="preserve">   </w:t>
            </w:r>
          </w:p>
        </w:tc>
        <w:tc>
          <w:tcPr>
            <w:tcW w:type="dxa" w:w="4072"/>
            <w:tcBorders>
              <w:top w:val="none" w:color="000000" w:sz="4"/>
              <w:left w:val="none" w:color="000000" w:sz="4"/>
              <w:bottom w:val="none" w:color="000000" w:sz="4"/>
              <w:right w:val="none" w:color="000000" w:sz="4"/>
            </w:tcBorders>
            <w:vAlign w:val="top"/>
          </w:tcPr>
          <w:p>
            <w:pPr>
              <w:jc w:val="both"/>
            </w:pPr>
            <w:r>
              <w:rPr>
                <w:sz w:val="24"/>
              </w:rPr>
              <w:t>地址：</w:t>
            </w:r>
          </w:p>
        </w:tc>
      </w:tr>
      <w:tr>
        <w:tc>
          <w:tcPr>
            <w:tcW w:type="dxa" w:w="4234"/>
            <w:tcBorders>
              <w:top w:val="none" w:color="000000" w:sz="4"/>
              <w:left w:val="none" w:color="000000" w:sz="4"/>
              <w:bottom w:val="none" w:color="000000" w:sz="4"/>
              <w:right w:val="none" w:color="000000" w:sz="4"/>
            </w:tcBorders>
            <w:vAlign w:val="top"/>
          </w:tcPr>
          <w:p>
            <w:pPr>
              <w:jc w:val="both"/>
            </w:pPr>
            <w:r>
              <w:rPr>
                <w:sz w:val="24"/>
              </w:rPr>
              <w:t>电话：</w:t>
            </w:r>
            <w:r>
              <w:rPr>
                <w:sz w:val="24"/>
              </w:rPr>
              <w:t xml:space="preserve">    </w:t>
            </w:r>
          </w:p>
        </w:tc>
        <w:tc>
          <w:tcPr>
            <w:tcW w:type="dxa" w:w="4072"/>
            <w:tcBorders>
              <w:top w:val="none" w:color="000000" w:sz="4"/>
              <w:left w:val="none" w:color="000000" w:sz="4"/>
              <w:bottom w:val="none" w:color="000000" w:sz="4"/>
              <w:right w:val="none" w:color="000000" w:sz="4"/>
            </w:tcBorders>
            <w:vAlign w:val="top"/>
          </w:tcPr>
          <w:p>
            <w:pPr>
              <w:jc w:val="both"/>
            </w:pPr>
            <w:r>
              <w:rPr>
                <w:sz w:val="24"/>
              </w:rPr>
              <w:t>电话：</w:t>
            </w:r>
          </w:p>
        </w:tc>
      </w:tr>
      <w:tr>
        <w:tc>
          <w:tcPr>
            <w:tcW w:type="dxa" w:w="4234"/>
            <w:tcBorders>
              <w:top w:val="none" w:color="000000" w:sz="4"/>
              <w:left w:val="none" w:color="000000" w:sz="4"/>
              <w:bottom w:val="none" w:color="000000" w:sz="4"/>
              <w:right w:val="none" w:color="000000" w:sz="4"/>
            </w:tcBorders>
            <w:vAlign w:val="top"/>
          </w:tcPr>
          <w:p>
            <w:pPr>
              <w:jc w:val="both"/>
            </w:pPr>
            <w:r>
              <w:rPr>
                <w:sz w:val="24"/>
              </w:rPr>
              <w:t>传真：</w:t>
            </w:r>
            <w:r>
              <w:rPr>
                <w:sz w:val="24"/>
              </w:rPr>
              <w:t xml:space="preserve">    </w:t>
            </w:r>
          </w:p>
        </w:tc>
        <w:tc>
          <w:tcPr>
            <w:tcW w:type="dxa" w:w="4072"/>
            <w:tcBorders>
              <w:top w:val="none" w:color="000000" w:sz="4"/>
              <w:left w:val="none" w:color="000000" w:sz="4"/>
              <w:bottom w:val="none" w:color="000000" w:sz="4"/>
              <w:right w:val="none" w:color="000000" w:sz="4"/>
            </w:tcBorders>
            <w:vAlign w:val="top"/>
          </w:tcPr>
          <w:p>
            <w:pPr>
              <w:jc w:val="both"/>
            </w:pPr>
            <w:r>
              <w:rPr>
                <w:sz w:val="24"/>
              </w:rPr>
              <w:t>传真：</w:t>
            </w:r>
          </w:p>
        </w:tc>
      </w:tr>
      <w:tr>
        <w:tc>
          <w:tcPr>
            <w:tcW w:type="dxa" w:w="4234"/>
            <w:tcBorders>
              <w:top w:val="none" w:color="000000" w:sz="4"/>
              <w:left w:val="none" w:color="000000" w:sz="4"/>
              <w:bottom w:val="none" w:color="000000" w:sz="4"/>
              <w:right w:val="none" w:color="000000" w:sz="4"/>
            </w:tcBorders>
            <w:vAlign w:val="top"/>
          </w:tcPr>
          <w:p>
            <w:pPr>
              <w:jc w:val="both"/>
            </w:pPr>
            <w:r>
              <w:rPr>
                <w:sz w:val="24"/>
              </w:rPr>
              <w:t>日期：</w:t>
            </w:r>
            <w:r>
              <w:rPr>
                <w:sz w:val="24"/>
              </w:rPr>
              <w:t xml:space="preserve">          年     月    日    </w:t>
            </w:r>
          </w:p>
          <w:p>
            <w:pPr>
              <w:jc w:val="both"/>
            </w:pPr>
            <w:r>
              <w:rPr>
                <w:sz w:val="21"/>
              </w:rPr>
              <w:t xml:space="preserve"> </w:t>
            </w:r>
          </w:p>
        </w:tc>
        <w:tc>
          <w:tcPr>
            <w:tcW w:type="dxa" w:w="4072"/>
            <w:tcBorders>
              <w:top w:val="none" w:color="000000" w:sz="4"/>
              <w:left w:val="none" w:color="000000" w:sz="4"/>
              <w:bottom w:val="none" w:color="000000" w:sz="4"/>
              <w:right w:val="none" w:color="000000" w:sz="4"/>
            </w:tcBorders>
            <w:vAlign w:val="top"/>
          </w:tcPr>
          <w:p>
            <w:pPr>
              <w:jc w:val="both"/>
            </w:pPr>
            <w:r>
              <w:rPr>
                <w:sz w:val="24"/>
              </w:rPr>
              <w:t>日期：</w:t>
            </w:r>
            <w:r>
              <w:rPr>
                <w:sz w:val="24"/>
              </w:rPr>
              <w:t xml:space="preserve">       年     月     日</w:t>
            </w:r>
          </w:p>
        </w:tc>
      </w:tr>
      <w:tr>
        <w:tc>
          <w:tcPr>
            <w:tcW w:type="dxa" w:w="4234"/>
            <w:tcBorders>
              <w:top w:val="none" w:color="000000" w:sz="4"/>
              <w:left w:val="none" w:color="000000" w:sz="4"/>
              <w:bottom w:val="none" w:color="000000" w:sz="4"/>
              <w:right w:val="none" w:color="000000" w:sz="4"/>
            </w:tcBorders>
            <w:vAlign w:val="top"/>
          </w:tcPr>
          <w:p>
            <w:pPr>
              <w:jc w:val="both"/>
            </w:pPr>
          </w:p>
        </w:tc>
        <w:tc>
          <w:tcPr>
            <w:tcW w:type="dxa" w:w="4072"/>
            <w:tcBorders>
              <w:top w:val="none" w:color="000000" w:sz="4"/>
              <w:left w:val="none" w:color="000000" w:sz="4"/>
              <w:bottom w:val="none" w:color="000000" w:sz="4"/>
              <w:right w:val="none" w:color="000000" w:sz="4"/>
            </w:tcBorders>
            <w:vAlign w:val="top"/>
          </w:tcPr>
          <w:p>
            <w:pPr>
              <w:jc w:val="both"/>
            </w:pPr>
            <w:r>
              <w:rPr>
                <w:sz w:val="24"/>
              </w:rPr>
              <w:t>收款方、开票方须与乙方一致；专户为：</w:t>
            </w:r>
          </w:p>
        </w:tc>
      </w:tr>
      <w:tr>
        <w:tc>
          <w:tcPr>
            <w:tcW w:type="dxa" w:w="4234"/>
            <w:tcBorders>
              <w:top w:val="none" w:color="000000" w:sz="4"/>
              <w:left w:val="none" w:color="000000" w:sz="4"/>
              <w:bottom w:val="none" w:color="000000" w:sz="4"/>
              <w:right w:val="none" w:color="000000" w:sz="4"/>
            </w:tcBorders>
            <w:vAlign w:val="top"/>
          </w:tcPr>
          <w:p>
            <w:pPr>
              <w:jc w:val="both"/>
            </w:pPr>
          </w:p>
        </w:tc>
        <w:tc>
          <w:tcPr>
            <w:tcW w:type="dxa" w:w="4072"/>
            <w:tcBorders>
              <w:top w:val="none" w:color="000000" w:sz="4"/>
              <w:left w:val="none" w:color="000000" w:sz="4"/>
              <w:bottom w:val="none" w:color="000000" w:sz="4"/>
              <w:right w:val="none" w:color="000000" w:sz="4"/>
            </w:tcBorders>
            <w:vAlign w:val="top"/>
          </w:tcPr>
          <w:p>
            <w:pPr>
              <w:jc w:val="both"/>
            </w:pPr>
            <w:r>
              <w:rPr>
                <w:sz w:val="24"/>
              </w:rPr>
              <w:t>开户名称：</w:t>
            </w:r>
          </w:p>
        </w:tc>
      </w:tr>
      <w:tr>
        <w:tc>
          <w:tcPr>
            <w:tcW w:type="dxa" w:w="4234"/>
            <w:tcBorders>
              <w:top w:val="none" w:color="000000" w:sz="4"/>
              <w:left w:val="none" w:color="000000" w:sz="4"/>
              <w:bottom w:val="none" w:color="000000" w:sz="4"/>
              <w:right w:val="none" w:color="000000" w:sz="4"/>
            </w:tcBorders>
            <w:vAlign w:val="top"/>
          </w:tcPr>
          <w:p>
            <w:pPr>
              <w:jc w:val="both"/>
            </w:pPr>
          </w:p>
        </w:tc>
        <w:tc>
          <w:tcPr>
            <w:tcW w:type="dxa" w:w="4072"/>
            <w:tcBorders>
              <w:top w:val="none" w:color="000000" w:sz="4"/>
              <w:left w:val="none" w:color="000000" w:sz="4"/>
              <w:bottom w:val="none" w:color="000000" w:sz="4"/>
              <w:right w:val="none" w:color="000000" w:sz="4"/>
            </w:tcBorders>
            <w:vAlign w:val="top"/>
          </w:tcPr>
          <w:p>
            <w:pPr>
              <w:jc w:val="both"/>
            </w:pPr>
            <w:r>
              <w:rPr>
                <w:sz w:val="24"/>
              </w:rPr>
              <w:t>银行帐号：</w:t>
            </w:r>
          </w:p>
        </w:tc>
      </w:tr>
      <w:tr>
        <w:tc>
          <w:tcPr>
            <w:tcW w:type="dxa" w:w="4234"/>
            <w:tcBorders>
              <w:top w:val="none" w:color="000000" w:sz="4"/>
              <w:left w:val="none" w:color="000000" w:sz="4"/>
              <w:bottom w:val="none" w:color="000000" w:sz="4"/>
              <w:right w:val="none" w:color="000000" w:sz="4"/>
            </w:tcBorders>
            <w:vAlign w:val="top"/>
          </w:tcPr>
          <w:p>
            <w:pPr>
              <w:jc w:val="both"/>
            </w:pPr>
          </w:p>
        </w:tc>
        <w:tc>
          <w:tcPr>
            <w:tcW w:type="dxa" w:w="4072"/>
            <w:tcBorders>
              <w:top w:val="none" w:color="000000" w:sz="4"/>
              <w:left w:val="none" w:color="000000" w:sz="4"/>
              <w:bottom w:val="none" w:color="000000" w:sz="4"/>
              <w:right w:val="none" w:color="000000" w:sz="4"/>
            </w:tcBorders>
            <w:vAlign w:val="top"/>
          </w:tcPr>
          <w:p>
            <w:pPr>
              <w:jc w:val="both"/>
            </w:pPr>
            <w:r>
              <w:rPr>
                <w:sz w:val="24"/>
              </w:rPr>
              <w:t>开</w:t>
            </w:r>
            <w:r>
              <w:rPr>
                <w:sz w:val="24"/>
              </w:rPr>
              <w:t>户 行：</w:t>
            </w:r>
          </w:p>
        </w:tc>
      </w:tr>
      <w:tr>
        <w:tc>
          <w:tcPr>
            <w:tcW w:type="dxa" w:w="4234"/>
            <w:tcBorders>
              <w:top w:val="none" w:color="000000" w:sz="4"/>
              <w:left w:val="none" w:color="000000" w:sz="4"/>
              <w:bottom w:val="none" w:color="000000" w:sz="4"/>
              <w:right w:val="none" w:color="000000" w:sz="4"/>
            </w:tcBorders>
            <w:vAlign w:val="top"/>
          </w:tcPr>
          <w:p>
            <w:pPr>
              <w:jc w:val="both"/>
            </w:pPr>
          </w:p>
        </w:tc>
        <w:tc>
          <w:tcPr>
            <w:tcW w:type="dxa" w:w="4072"/>
            <w:tcBorders>
              <w:top w:val="none" w:color="000000" w:sz="4"/>
              <w:left w:val="none" w:color="000000" w:sz="4"/>
              <w:bottom w:val="none" w:color="000000" w:sz="4"/>
              <w:right w:val="none" w:color="000000" w:sz="4"/>
            </w:tcBorders>
            <w:vAlign w:val="top"/>
          </w:tcPr>
          <w:p>
            <w:pPr>
              <w:jc w:val="both"/>
            </w:pPr>
          </w:p>
        </w:tc>
      </w:tr>
      <w:tr>
        <w:tc>
          <w:tcPr>
            <w:tcW w:type="dxa" w:w="8306"/>
            <w:gridSpan w:val="2"/>
            <w:tcBorders>
              <w:top w:val="none" w:color="000000" w:sz="4"/>
              <w:left w:val="none" w:color="000000" w:sz="4"/>
              <w:bottom w:val="none" w:color="000000" w:sz="4"/>
              <w:right w:val="none" w:color="000000" w:sz="4"/>
            </w:tcBorders>
            <w:vAlign w:val="top"/>
          </w:tcPr>
          <w:p>
            <w:pPr>
              <w:jc w:val="both"/>
            </w:pPr>
            <w:r>
              <w:rPr>
                <w:b/>
                <w:sz w:val="24"/>
              </w:rPr>
              <w:t>见证单位：</w:t>
            </w:r>
            <w:r>
              <w:rPr>
                <w:b/>
                <w:sz w:val="24"/>
              </w:rPr>
              <w:t>佛山聚友工程项目管理有限公司</w:t>
            </w:r>
          </w:p>
        </w:tc>
      </w:tr>
      <w:tr>
        <w:tc>
          <w:tcPr>
            <w:tcW w:type="dxa" w:w="8306"/>
            <w:gridSpan w:val="2"/>
            <w:tcBorders>
              <w:top w:val="none" w:color="000000" w:sz="4"/>
              <w:left w:val="none" w:color="000000" w:sz="4"/>
              <w:bottom w:val="none" w:color="000000" w:sz="4"/>
              <w:right w:val="none" w:color="000000" w:sz="4"/>
            </w:tcBorders>
            <w:vAlign w:val="top"/>
          </w:tcPr>
          <w:p>
            <w:pPr>
              <w:jc w:val="both"/>
            </w:pPr>
            <w:r>
              <w:rPr>
                <w:sz w:val="24"/>
              </w:rPr>
              <w:t>法定代表人：郑杰</w:t>
            </w:r>
          </w:p>
        </w:tc>
      </w:tr>
      <w:tr>
        <w:tc>
          <w:tcPr>
            <w:tcW w:type="dxa" w:w="8306"/>
            <w:gridSpan w:val="2"/>
            <w:tcBorders>
              <w:top w:val="none" w:color="000000" w:sz="4"/>
              <w:left w:val="none" w:color="000000" w:sz="4"/>
              <w:bottom w:val="none" w:color="000000" w:sz="4"/>
              <w:right w:val="none" w:color="000000" w:sz="4"/>
            </w:tcBorders>
            <w:vAlign w:val="top"/>
          </w:tcPr>
          <w:p>
            <w:pPr>
              <w:jc w:val="both"/>
            </w:pPr>
            <w:r>
              <w:rPr>
                <w:sz w:val="24"/>
              </w:rPr>
              <w:t>地址：</w:t>
            </w:r>
            <w:r>
              <w:rPr>
                <w:color w:val="000000"/>
                <w:sz w:val="24"/>
              </w:rPr>
              <w:t>佛山市禅城区金源街</w:t>
            </w:r>
            <w:r>
              <w:rPr>
                <w:color w:val="000000"/>
                <w:sz w:val="24"/>
              </w:rPr>
              <w:t>8号8楼</w:t>
            </w:r>
          </w:p>
        </w:tc>
      </w:tr>
      <w:tr>
        <w:tc>
          <w:tcPr>
            <w:tcW w:type="dxa" w:w="4234"/>
            <w:vMerge w:val="restart"/>
            <w:tcBorders>
              <w:top w:val="none" w:color="000000" w:sz="4"/>
              <w:left w:val="none" w:color="000000" w:sz="4"/>
              <w:bottom w:val="none" w:color="000000" w:sz="4"/>
              <w:right w:val="none" w:color="000000" w:sz="4"/>
            </w:tcBorders>
            <w:vAlign w:val="top"/>
          </w:tcPr>
          <w:p>
            <w:pPr>
              <w:jc w:val="both"/>
            </w:pPr>
            <w:r>
              <w:rPr>
                <w:sz w:val="24"/>
              </w:rPr>
              <w:t>见</w:t>
            </w:r>
            <w:r>
              <w:rPr>
                <w:sz w:val="24"/>
              </w:rPr>
              <w:t xml:space="preserve">证 人：    </w:t>
            </w:r>
          </w:p>
        </w:tc>
        <w:tc>
          <w:tcPr>
            <w:tcW w:type="dxa" w:w="4072"/>
            <w:tcBorders>
              <w:top w:val="none" w:color="000000" w:sz="4"/>
              <w:left w:val="none" w:color="000000" w:sz="4"/>
              <w:bottom w:val="none" w:color="000000" w:sz="4"/>
              <w:right w:val="none" w:color="000000" w:sz="4"/>
            </w:tcBorders>
            <w:vAlign w:val="top"/>
          </w:tcPr>
          <w:p>
            <w:pPr>
              <w:jc w:val="both"/>
            </w:pPr>
          </w:p>
        </w:tc>
      </w:tr>
      <w:tr>
        <w:tc>
          <w:tcPr>
            <w:tcW w:type="dxa" w:w="4234"/>
            <w:vMerge/>
            <w:tcBorders>
              <w:top w:val="none" w:color="000000" w:sz="4"/>
              <w:left w:val="none" w:color="000000" w:sz="4"/>
              <w:bottom w:val="none" w:color="000000" w:sz="4"/>
              <w:right w:val="none" w:color="000000" w:sz="4"/>
            </w:tcBorders>
          </w:tcPr>
          <w:p/>
        </w:tc>
        <w:tc>
          <w:tcPr>
            <w:tcW w:type="dxa" w:w="4072"/>
            <w:tcBorders>
              <w:top w:val="none" w:color="000000" w:sz="4"/>
              <w:left w:val="none" w:color="000000" w:sz="4"/>
              <w:bottom w:val="none" w:color="000000" w:sz="4"/>
              <w:right w:val="none" w:color="000000" w:sz="4"/>
            </w:tcBorders>
            <w:vAlign w:val="top"/>
          </w:tcPr>
          <w:p>
            <w:pPr>
              <w:jc w:val="both"/>
            </w:pPr>
          </w:p>
        </w:tc>
      </w:tr>
      <w:tr>
        <w:tc>
          <w:tcPr>
            <w:tcW w:type="dxa" w:w="4234"/>
            <w:tcBorders>
              <w:top w:val="none" w:color="000000" w:sz="4"/>
              <w:left w:val="none" w:color="000000" w:sz="4"/>
              <w:bottom w:val="none" w:color="000000" w:sz="4"/>
              <w:right w:val="none" w:color="000000" w:sz="4"/>
            </w:tcBorders>
            <w:vAlign w:val="top"/>
          </w:tcPr>
          <w:p>
            <w:pPr>
              <w:jc w:val="both"/>
            </w:pPr>
            <w:r>
              <w:rPr>
                <w:sz w:val="24"/>
              </w:rPr>
              <w:t>日期：</w:t>
            </w:r>
            <w:r>
              <w:rPr>
                <w:sz w:val="24"/>
              </w:rPr>
              <w:t xml:space="preserve">    年     月     日   </w:t>
            </w:r>
          </w:p>
        </w:tc>
        <w:tc>
          <w:tcPr>
            <w:tcW w:type="dxa" w:w="4072"/>
            <w:tcBorders>
              <w:top w:val="none" w:color="000000" w:sz="4"/>
              <w:left w:val="none" w:color="000000" w:sz="4"/>
              <w:bottom w:val="none" w:color="000000" w:sz="4"/>
              <w:right w:val="none" w:color="000000" w:sz="4"/>
            </w:tcBorders>
            <w:vAlign w:val="top"/>
          </w:tcPr>
          <w:p>
            <w:pPr>
              <w:jc w:val="both"/>
            </w:pPr>
          </w:p>
        </w:tc>
      </w:tr>
      <w:tr>
        <w:tc>
          <w:tcPr>
            <w:tcW w:type="dxa" w:w="4234"/>
            <w:tcBorders>
              <w:top w:val="none" w:color="000000" w:sz="4"/>
              <w:left w:val="none" w:color="000000" w:sz="4"/>
              <w:bottom w:val="none" w:color="000000" w:sz="4"/>
              <w:right w:val="none" w:color="000000" w:sz="4"/>
            </w:tcBorders>
            <w:vAlign w:val="top"/>
          </w:tcPr>
          <w:p>
            <w:pPr>
              <w:jc w:val="both"/>
            </w:pPr>
            <w:r>
              <w:rPr>
                <w:sz w:val="24"/>
              </w:rPr>
              <w:t>联系电话：</w:t>
            </w:r>
            <w:r>
              <w:rPr>
                <w:sz w:val="24"/>
              </w:rPr>
              <w:t>0757-83388785</w:t>
            </w:r>
          </w:p>
        </w:tc>
        <w:tc>
          <w:tcPr>
            <w:tcW w:type="dxa" w:w="4072"/>
            <w:tcBorders>
              <w:top w:val="none" w:color="000000" w:sz="4"/>
              <w:left w:val="none" w:color="000000" w:sz="4"/>
              <w:bottom w:val="none" w:color="000000" w:sz="4"/>
              <w:right w:val="none" w:color="000000" w:sz="4"/>
            </w:tcBorders>
            <w:vAlign w:val="top"/>
          </w:tcPr>
          <w:p>
            <w:pPr>
              <w:jc w:val="both"/>
            </w:pPr>
          </w:p>
        </w:tc>
      </w:tr>
    </w:tbl>
    <w:p>
      <w:pPr>
        <w:jc w:val="both"/>
      </w:pPr>
      <w:r>
        <w:rPr>
          <w:b/>
          <w:sz w:val="21"/>
        </w:rPr>
        <w:t>合同附件清单</w:t>
      </w:r>
      <w:r>
        <w:rPr>
          <w:sz w:val="21"/>
        </w:rPr>
        <w:t>（附后）：</w:t>
      </w:r>
    </w:p>
    <w:p>
      <w:pPr>
        <w:jc w:val="both"/>
      </w:pPr>
      <w:r>
        <w:rPr>
          <w:sz w:val="21"/>
        </w:rPr>
        <w:t>1.</w:t>
      </w:r>
      <w:r>
        <w:rPr>
          <w:sz w:val="21"/>
        </w:rPr>
        <w:t>本合同所有附件均在签订合同时编制，确立依据为磋商文件和乙方的投标（响应）文件及相关确认文件；合同附件内容由甲乙双方共同协商确定。</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440601-2022-01611</w:t>
      </w:r>
    </w:p>
    <w:p>
      <w:pPr>
        <w:jc w:val="center"/>
      </w:pPr>
      <w:r>
        <w:rPr>
          <w:b/>
          <w:sz w:val="24"/>
        </w:rPr>
        <w:t>采购项目编号：</w:t>
      </w:r>
      <w:r>
        <w:rPr>
          <w:b/>
          <w:sz w:val="24"/>
        </w:rPr>
        <w:t>JYZB-FS-2022023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佛山聚友工程项目管理有限公司</w:t>
      </w:r>
    </w:p>
    <w:p>
      <w:pPr>
        <w:ind w:firstLine="480"/>
      </w:pPr>
      <w:r>
        <w:rPr/>
        <w:t>你方组织的</w:t>
      </w:r>
      <w:r>
        <w:rPr>
          <w:u w:val="single"/>
        </w:rPr>
        <w:t>2022年佛山市普通高中和初中学业水平考试计算机辅助考试服务项目</w:t>
      </w:r>
      <w:r>
        <w:rPr/>
        <w:t>项目的竞争性磋商[采购项目编号为：</w:t>
      </w:r>
      <w:r>
        <w:rPr>
          <w:u w:val="single"/>
        </w:rPr>
        <w:t>JYZB-FS-2022023</w:t>
      </w:r>
      <w:r>
        <w:rPr/>
        <w:t>]，我方愿参与响应。</w:t>
      </w:r>
    </w:p>
    <w:p>
      <w:pPr>
        <w:ind w:firstLine="480"/>
      </w:pPr>
      <w:r>
        <w:rPr/>
        <w:t>我方确认收到贵方提供的</w:t>
      </w:r>
      <w:r>
        <w:rPr>
          <w:u w:val="single"/>
        </w:rPr>
        <w:t>2022年佛山市普通高中和初中学业水平考试计算机辅助考试服务项目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佛山聚友工程项目管理有限公司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2022年佛山市普通高中和初中学业水平考试计算机辅助考试服务项目</w:t>
      </w:r>
      <w:r>
        <w:rPr/>
        <w:t>项目采购[采购项目编号为</w:t>
      </w:r>
      <w:r>
        <w:rPr/>
        <w:t>JYZB-FS-2022023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佛山聚友工程项目管理有限公司</w:t>
      </w:r>
    </w:p>
    <w:p>
      <w:pPr>
        <w:ind w:firstLine="480"/>
      </w:pPr>
      <w:r>
        <w:rPr/>
        <w:t>我单位参加贵公司组织的</w:t>
      </w:r>
      <w:r>
        <w:rPr/>
        <w:t>2022年佛山市普通高中和初中学业水平考试计算机辅助考试服务项目</w:t>
      </w:r>
      <w:r>
        <w:rPr/>
        <w:t>（采购项目编号：</w:t>
      </w:r>
      <w:r>
        <w:rPr/>
        <w:t>JYZB-FS-2022023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佛山聚友工程项目管理有限公司</w:t>
      </w:r>
    </w:p>
    <w:p>
      <w:pPr>
        <w:ind w:firstLine="480"/>
      </w:pPr>
      <w:r>
        <w:rPr/>
        <w:t>我单位已登记并准备参与</w:t>
      </w:r>
      <w:r>
        <w:rPr/>
        <w:t>2022年佛山市普通高中和初中学业水平考试计算机辅助考试服务项目</w:t>
      </w:r>
      <w:r>
        <w:rPr/>
        <w:t>项目（采购项目编号：</w:t>
      </w:r>
      <w:r>
        <w:rPr/>
        <w:t>JYZB-FS-2022023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